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785486E7" w:rsidR="002964B7" w:rsidRDefault="00062DD0" w:rsidP="002964B7">
      <w:pPr>
        <w:spacing w:after="0" w:line="240" w:lineRule="auto"/>
        <w:jc w:val="center"/>
      </w:pPr>
      <w:r>
        <w:t>Ma</w:t>
      </w:r>
      <w:r w:rsidR="00E1276B">
        <w:t>y</w:t>
      </w:r>
      <w:r w:rsidR="005751F4">
        <w:t xml:space="preserve"> </w:t>
      </w:r>
      <w:r w:rsidR="00E1276B">
        <w:t>09</w:t>
      </w:r>
      <w:r>
        <w:t>, 2023</w:t>
      </w:r>
    </w:p>
    <w:p w14:paraId="24BBD887" w14:textId="10759A54" w:rsidR="00136E15" w:rsidRDefault="00136E15" w:rsidP="002964B7">
      <w:pPr>
        <w:spacing w:after="0" w:line="240" w:lineRule="auto"/>
        <w:jc w:val="center"/>
      </w:pPr>
      <w:r>
        <w:t>Division of Labor and Industry</w:t>
      </w:r>
    </w:p>
    <w:p w14:paraId="5E0212A4" w14:textId="3ACE5DCC" w:rsidR="00062DD0" w:rsidRDefault="00062DD0" w:rsidP="002964B7">
      <w:pPr>
        <w:spacing w:after="0" w:line="240" w:lineRule="auto"/>
        <w:jc w:val="center"/>
      </w:pPr>
      <w:r>
        <w:t>1</w:t>
      </w:r>
      <w:r w:rsidR="00710835">
        <w:t xml:space="preserve">0946 </w:t>
      </w:r>
      <w:r w:rsidR="00136E15">
        <w:t>Golden Valley West Drive</w:t>
      </w:r>
    </w:p>
    <w:p w14:paraId="0C56E084" w14:textId="72468D15" w:rsidR="00062DD0" w:rsidRDefault="00710835" w:rsidP="002964B7">
      <w:pPr>
        <w:spacing w:after="0" w:line="240" w:lineRule="auto"/>
        <w:jc w:val="center"/>
      </w:pPr>
      <w:r>
        <w:t>Hunt Valley</w:t>
      </w:r>
      <w:r w:rsidR="00062DD0">
        <w:t>, MD  21</w:t>
      </w:r>
      <w:r>
        <w:t>031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+1 904-900-0689  PIN: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6387164" w14:textId="6B2C613F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7E62DCDF" w14:textId="0733394C" w:rsidR="002964B7" w:rsidRDefault="005751F4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March 21, 2023</w:t>
      </w:r>
      <w:r w:rsidR="002964B7">
        <w:t>, Open Session Meeting Minutes Approval</w:t>
      </w:r>
      <w:r w:rsidR="002964B7">
        <w:tab/>
      </w:r>
      <w:r w:rsidR="00062DD0">
        <w:t>Brian Wodka</w:t>
      </w:r>
      <w:r w:rsidR="002964B7">
        <w:t>, Chairperson</w:t>
      </w: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033CDF8F" w14:textId="4742EE89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correspondence submitted to the Board via phone, email or mail. </w:t>
      </w:r>
    </w:p>
    <w:p w14:paraId="51591F5E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63153400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REPORTS</w:t>
      </w:r>
    </w:p>
    <w:p w14:paraId="3F78CACD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1808FC68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2BC7E4C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2EA01BE1" w14:textId="7095BDDC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</w:r>
      <w:r w:rsidR="00062DD0">
        <w:t>Brian Wodka, Chairman</w:t>
      </w:r>
      <w:r>
        <w:t xml:space="preserve"> </w:t>
      </w:r>
    </w:p>
    <w:p w14:paraId="53D01328" w14:textId="36657A61" w:rsidR="005751F4" w:rsidRDefault="005751F4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F5A5710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6584F4BD" w14:textId="01A748A4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of PSI Exam Inquiry</w:t>
      </w:r>
    </w:p>
    <w:p w14:paraId="099A6265" w14:textId="3F425463" w:rsidR="00062DD0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old business, as necessary. 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160FC51" w14:textId="6CB33D8B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will discuss any new business as necessary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0DFE81A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CLOSED SESSION: (if Needed)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16920ECE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A96B78">
        <w:t>July</w:t>
      </w:r>
      <w:r w:rsidR="00062DD0">
        <w:t xml:space="preserve"> </w:t>
      </w:r>
      <w:r w:rsidR="00A96B78">
        <w:t>18</w:t>
      </w:r>
      <w:r w:rsidR="00062DD0">
        <w:t>, 2023.</w:t>
      </w:r>
    </w:p>
    <w:p w14:paraId="2477DBD5" w14:textId="77777777" w:rsidR="008F14C0" w:rsidRDefault="008F14C0"/>
    <w:sectPr w:rsidR="008F14C0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5C2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781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2C58B0A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B04C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AFF7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53DEF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2DD0"/>
    <w:rsid w:val="00136E15"/>
    <w:rsid w:val="002964B7"/>
    <w:rsid w:val="003977B5"/>
    <w:rsid w:val="004F7098"/>
    <w:rsid w:val="005751F4"/>
    <w:rsid w:val="00576FF0"/>
    <w:rsid w:val="006D1A1B"/>
    <w:rsid w:val="00710835"/>
    <w:rsid w:val="00777E51"/>
    <w:rsid w:val="007B58D7"/>
    <w:rsid w:val="008F14C0"/>
    <w:rsid w:val="00907226"/>
    <w:rsid w:val="00974ADE"/>
    <w:rsid w:val="009A4E64"/>
    <w:rsid w:val="00A25C6B"/>
    <w:rsid w:val="00A96B78"/>
    <w:rsid w:val="00C12894"/>
    <w:rsid w:val="00CF69B7"/>
    <w:rsid w:val="00E1276B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6</cp:revision>
  <dcterms:created xsi:type="dcterms:W3CDTF">2023-05-04T19:07:00Z</dcterms:created>
  <dcterms:modified xsi:type="dcterms:W3CDTF">2023-05-05T13:09:00Z</dcterms:modified>
</cp:coreProperties>
</file>