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DCB2" w14:textId="77777777" w:rsidR="000935BD" w:rsidRPr="001B1ED0" w:rsidRDefault="000935BD" w:rsidP="001B1ED0">
      <w:pPr>
        <w:jc w:val="center"/>
        <w:rPr>
          <w:rFonts w:eastAsia="MingLiU-ExtB"/>
        </w:rPr>
      </w:pPr>
      <w:r w:rsidRPr="001B1ED0">
        <w:rPr>
          <w:rFonts w:eastAsia="MingLiU-ExtB"/>
        </w:rPr>
        <w:t>BEFORE THE MARYLAND BOARD OF INDIVIDUAL TAX PREPARERS</w:t>
      </w:r>
    </w:p>
    <w:p w14:paraId="00B962C6" w14:textId="77777777" w:rsidR="000935BD" w:rsidRPr="001B1ED0" w:rsidRDefault="000935BD">
      <w:pPr>
        <w:rPr>
          <w:rFonts w:eastAsia="MingLiU-ExtB"/>
        </w:rPr>
      </w:pPr>
    </w:p>
    <w:p w14:paraId="630EEBB1" w14:textId="14E0EA6C" w:rsidR="000935BD" w:rsidRPr="001B1ED0" w:rsidRDefault="000935BD" w:rsidP="001B1ED0">
      <w:pPr>
        <w:tabs>
          <w:tab w:val="left" w:pos="-1440"/>
          <w:tab w:val="left" w:pos="4590"/>
        </w:tabs>
        <w:rPr>
          <w:rFonts w:eastAsia="MingLiU-ExtB"/>
        </w:rPr>
      </w:pPr>
      <w:r w:rsidRPr="001B1ED0">
        <w:rPr>
          <w:rFonts w:eastAsia="MingLiU-ExtB"/>
        </w:rPr>
        <w:t>MARYLAND BOARD OF INDIVIDUAL</w:t>
      </w:r>
      <w:r w:rsidR="001B1ED0">
        <w:rPr>
          <w:rFonts w:eastAsia="MingLiU-ExtB"/>
        </w:rPr>
        <w:tab/>
      </w:r>
      <w:r w:rsidRPr="001B1ED0">
        <w:rPr>
          <w:rFonts w:eastAsia="MingLiU-ExtB"/>
        </w:rPr>
        <w:t>*</w:t>
      </w:r>
    </w:p>
    <w:p w14:paraId="4E74D41F" w14:textId="2E3D172D" w:rsidR="000935BD" w:rsidRPr="001B1ED0" w:rsidRDefault="000F4A80" w:rsidP="001B1ED0">
      <w:pPr>
        <w:tabs>
          <w:tab w:val="left" w:pos="-1440"/>
          <w:tab w:val="left" w:pos="4590"/>
        </w:tabs>
        <w:rPr>
          <w:rFonts w:eastAsia="MingLiU-ExtB"/>
        </w:rPr>
      </w:pPr>
      <w:r>
        <w:rPr>
          <w:rFonts w:eastAsia="MingLiU-ExtB"/>
        </w:rPr>
        <w:t>TAX PREPARERS</w:t>
      </w:r>
      <w:r>
        <w:rPr>
          <w:rFonts w:eastAsia="MingLiU-ExtB"/>
        </w:rPr>
        <w:tab/>
      </w:r>
    </w:p>
    <w:p w14:paraId="72FA8100" w14:textId="54D2B4E2" w:rsidR="000935BD" w:rsidRPr="001B1ED0" w:rsidRDefault="001B1ED0" w:rsidP="001B1ED0">
      <w:pPr>
        <w:tabs>
          <w:tab w:val="left" w:pos="4590"/>
        </w:tabs>
        <w:rPr>
          <w:rFonts w:eastAsia="MingLiU-ExtB"/>
        </w:rPr>
      </w:pPr>
      <w:r>
        <w:rPr>
          <w:rFonts w:eastAsia="MingLiU-ExtB"/>
        </w:rPr>
        <w:tab/>
      </w:r>
      <w:r w:rsidR="000935BD" w:rsidRPr="001B1ED0">
        <w:rPr>
          <w:rFonts w:eastAsia="MingLiU-ExtB"/>
        </w:rPr>
        <w:t>*</w:t>
      </w:r>
    </w:p>
    <w:p w14:paraId="0F33D1BE" w14:textId="14DA386A" w:rsidR="000935BD" w:rsidRPr="001B1ED0" w:rsidRDefault="00D33E3B" w:rsidP="001B1ED0">
      <w:pPr>
        <w:tabs>
          <w:tab w:val="left" w:pos="-1440"/>
          <w:tab w:val="left" w:pos="4590"/>
        </w:tabs>
        <w:rPr>
          <w:rFonts w:eastAsia="MingLiU-ExtB"/>
        </w:rPr>
      </w:pPr>
      <w:r>
        <w:rPr>
          <w:rFonts w:eastAsia="MingLiU-ExtB"/>
        </w:rPr>
        <w:t>v.</w:t>
      </w:r>
      <w:r>
        <w:rPr>
          <w:rFonts w:eastAsia="MingLiU-ExtB"/>
        </w:rPr>
        <w:tab/>
      </w:r>
      <w:r>
        <w:rPr>
          <w:rFonts w:eastAsia="MingLiU-ExtB"/>
        </w:rPr>
        <w:tab/>
        <w:t xml:space="preserve">CASE NO. MITP </w:t>
      </w:r>
      <w:r w:rsidR="00533842">
        <w:rPr>
          <w:rFonts w:eastAsia="MingLiU-ExtB"/>
        </w:rPr>
        <w:t>2025-31</w:t>
      </w:r>
    </w:p>
    <w:p w14:paraId="52021980" w14:textId="32721BDE" w:rsidR="000935BD" w:rsidRPr="001B1ED0" w:rsidRDefault="001B1ED0" w:rsidP="001B1ED0">
      <w:pPr>
        <w:tabs>
          <w:tab w:val="left" w:pos="4590"/>
        </w:tabs>
        <w:rPr>
          <w:rFonts w:eastAsia="MingLiU-ExtB"/>
        </w:rPr>
      </w:pPr>
      <w:r>
        <w:rPr>
          <w:rFonts w:eastAsia="MingLiU-ExtB"/>
        </w:rPr>
        <w:tab/>
      </w:r>
      <w:r w:rsidR="000935BD" w:rsidRPr="001B1ED0">
        <w:rPr>
          <w:rFonts w:eastAsia="MingLiU-ExtB"/>
        </w:rPr>
        <w:t>*</w:t>
      </w:r>
    </w:p>
    <w:p w14:paraId="6BDDF2A5" w14:textId="77777777" w:rsidR="00396C6E" w:rsidRDefault="00533842" w:rsidP="001B1ED0">
      <w:pPr>
        <w:tabs>
          <w:tab w:val="left" w:pos="-1440"/>
          <w:tab w:val="left" w:pos="4590"/>
        </w:tabs>
        <w:rPr>
          <w:rFonts w:eastAsia="MingLiU-ExtB"/>
        </w:rPr>
      </w:pPr>
      <w:r>
        <w:rPr>
          <w:rFonts w:eastAsia="MingLiU-ExtB"/>
        </w:rPr>
        <w:t>CHARLIE A. MOLINA</w:t>
      </w:r>
    </w:p>
    <w:p w14:paraId="76F9EB3A" w14:textId="77777777" w:rsidR="00396C6E" w:rsidRDefault="00396C6E" w:rsidP="001B1ED0">
      <w:pPr>
        <w:tabs>
          <w:tab w:val="left" w:pos="-1440"/>
          <w:tab w:val="left" w:pos="4590"/>
        </w:tabs>
        <w:rPr>
          <w:rFonts w:eastAsia="MingLiU-ExtB"/>
        </w:rPr>
      </w:pPr>
      <w:r>
        <w:rPr>
          <w:rFonts w:eastAsia="MingLiU-ExtB"/>
        </w:rPr>
        <w:t>12807 Claxton Drive</w:t>
      </w:r>
    </w:p>
    <w:p w14:paraId="13B9C86A" w14:textId="77777777" w:rsidR="00396C6E" w:rsidRDefault="00396C6E" w:rsidP="001B1ED0">
      <w:pPr>
        <w:tabs>
          <w:tab w:val="left" w:pos="-1440"/>
          <w:tab w:val="left" w:pos="4590"/>
        </w:tabs>
        <w:rPr>
          <w:rFonts w:eastAsia="MingLiU-ExtB"/>
        </w:rPr>
      </w:pPr>
      <w:r>
        <w:rPr>
          <w:rFonts w:eastAsia="MingLiU-ExtB"/>
        </w:rPr>
        <w:t>Laurel, MD 20708</w:t>
      </w:r>
    </w:p>
    <w:p w14:paraId="3599152C" w14:textId="1970B380" w:rsidR="000935BD" w:rsidRPr="001B1ED0" w:rsidRDefault="00396C6E" w:rsidP="001B1ED0">
      <w:pPr>
        <w:tabs>
          <w:tab w:val="left" w:pos="-1440"/>
          <w:tab w:val="left" w:pos="4590"/>
        </w:tabs>
        <w:rPr>
          <w:rFonts w:eastAsia="MingLiU-ExtB"/>
        </w:rPr>
      </w:pPr>
      <w:proofErr w:type="gramStart"/>
      <w:r>
        <w:rPr>
          <w:rFonts w:eastAsia="MingLiU-ExtB"/>
        </w:rPr>
        <w:t>Reg. #</w:t>
      </w:r>
      <w:proofErr w:type="gramEnd"/>
      <w:r>
        <w:rPr>
          <w:rFonts w:eastAsia="MingLiU-ExtB"/>
        </w:rPr>
        <w:t>01-8450</w:t>
      </w:r>
      <w:r w:rsidR="000935BD" w:rsidRPr="001B1ED0">
        <w:rPr>
          <w:rFonts w:eastAsia="MingLiU-ExtB"/>
        </w:rPr>
        <w:tab/>
      </w:r>
    </w:p>
    <w:p w14:paraId="3D981F82" w14:textId="37BFEBC9" w:rsidR="001B1ED0" w:rsidRDefault="00EE1C79" w:rsidP="008320B8">
      <w:pPr>
        <w:tabs>
          <w:tab w:val="left" w:pos="1530"/>
          <w:tab w:val="left" w:pos="4590"/>
        </w:tabs>
        <w:rPr>
          <w:rFonts w:eastAsia="MingLiU-ExtB"/>
        </w:rPr>
      </w:pPr>
      <w:r>
        <w:rPr>
          <w:rFonts w:eastAsia="MingLiU-ExtB"/>
        </w:rPr>
        <w:tab/>
      </w:r>
      <w:r w:rsidRPr="00EE1C79">
        <w:rPr>
          <w:rFonts w:eastAsia="MingLiU-ExtB"/>
          <w:i/>
          <w:iCs/>
        </w:rPr>
        <w:t>Respondent</w:t>
      </w:r>
      <w:r w:rsidR="001B1ED0">
        <w:rPr>
          <w:rFonts w:eastAsia="MingLiU-ExtB"/>
        </w:rPr>
        <w:tab/>
      </w:r>
      <w:r w:rsidR="000935BD" w:rsidRPr="001B1ED0">
        <w:rPr>
          <w:rFonts w:eastAsia="MingLiU-ExtB"/>
        </w:rPr>
        <w:t>*</w:t>
      </w:r>
    </w:p>
    <w:p w14:paraId="58C55CCD" w14:textId="77777777" w:rsidR="000F4A80" w:rsidRDefault="000F4A80" w:rsidP="008320B8">
      <w:pPr>
        <w:tabs>
          <w:tab w:val="left" w:pos="1530"/>
          <w:tab w:val="left" w:pos="4590"/>
        </w:tabs>
        <w:rPr>
          <w:rFonts w:eastAsia="MingLiU-ExtB"/>
        </w:rPr>
      </w:pPr>
    </w:p>
    <w:p w14:paraId="4D399E56" w14:textId="19583B63" w:rsidR="008A4003" w:rsidRPr="009535FE" w:rsidRDefault="000935BD" w:rsidP="009535FE">
      <w:pPr>
        <w:tabs>
          <w:tab w:val="left" w:pos="-1440"/>
        </w:tabs>
        <w:jc w:val="center"/>
        <w:rPr>
          <w:rFonts w:eastAsia="MingLiU-ExtB"/>
        </w:rPr>
      </w:pPr>
      <w:r w:rsidRPr="001B1ED0">
        <w:rPr>
          <w:rFonts w:eastAsia="MingLiU-ExtB"/>
        </w:rPr>
        <w:t>*</w:t>
      </w:r>
      <w:r w:rsidR="001B1ED0">
        <w:rPr>
          <w:rFonts w:eastAsia="MingLiU-ExtB"/>
        </w:rPr>
        <w:tab/>
      </w:r>
      <w:r w:rsidRPr="001B1ED0">
        <w:rPr>
          <w:rFonts w:eastAsia="MingLiU-ExtB"/>
        </w:rPr>
        <w:t>*</w:t>
      </w:r>
      <w:r w:rsidRPr="001B1ED0">
        <w:rPr>
          <w:rFonts w:eastAsia="MingLiU-ExtB"/>
        </w:rPr>
        <w:tab/>
        <w:t>*</w:t>
      </w:r>
      <w:r w:rsidRPr="001B1ED0">
        <w:rPr>
          <w:rFonts w:eastAsia="MingLiU-ExtB"/>
        </w:rPr>
        <w:tab/>
        <w:t>*</w:t>
      </w:r>
      <w:r w:rsidRPr="001B1ED0">
        <w:rPr>
          <w:rFonts w:eastAsia="MingLiU-ExtB"/>
        </w:rPr>
        <w:tab/>
        <w:t>*</w:t>
      </w:r>
      <w:r w:rsidRPr="001B1ED0">
        <w:rPr>
          <w:rFonts w:eastAsia="MingLiU-ExtB"/>
        </w:rPr>
        <w:tab/>
        <w:t>*</w:t>
      </w:r>
      <w:r w:rsidRPr="001B1ED0">
        <w:rPr>
          <w:rFonts w:eastAsia="MingLiU-ExtB"/>
        </w:rPr>
        <w:tab/>
        <w:t>*</w:t>
      </w:r>
      <w:r w:rsidRPr="001B1ED0">
        <w:rPr>
          <w:rFonts w:eastAsia="MingLiU-ExtB"/>
        </w:rPr>
        <w:tab/>
        <w:t>*</w:t>
      </w:r>
      <w:r w:rsidRPr="001B1ED0">
        <w:rPr>
          <w:rFonts w:eastAsia="MingLiU-ExtB"/>
        </w:rPr>
        <w:tab/>
        <w:t>*</w:t>
      </w:r>
      <w:r w:rsidRPr="001B1ED0">
        <w:rPr>
          <w:rFonts w:eastAsia="MingLiU-ExtB"/>
        </w:rPr>
        <w:tab/>
        <w:t>*</w:t>
      </w:r>
      <w:r w:rsidR="001B1ED0">
        <w:rPr>
          <w:rFonts w:eastAsia="MingLiU-ExtB"/>
        </w:rPr>
        <w:tab/>
        <w:t>*</w:t>
      </w:r>
      <w:r w:rsidR="001B1ED0">
        <w:rPr>
          <w:rFonts w:eastAsia="MingLiU-ExtB"/>
        </w:rPr>
        <w:tab/>
        <w:t>*</w:t>
      </w:r>
      <w:r w:rsidR="001B1ED0">
        <w:rPr>
          <w:rFonts w:eastAsia="MingLiU-ExtB"/>
        </w:rPr>
        <w:tab/>
        <w:t>*</w:t>
      </w:r>
    </w:p>
    <w:p w14:paraId="2B04E8D3" w14:textId="77777777" w:rsidR="000F4A80" w:rsidRDefault="000F4A80" w:rsidP="001B1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MingLiU-ExtB"/>
          <w:b/>
          <w:bCs/>
        </w:rPr>
      </w:pPr>
    </w:p>
    <w:p w14:paraId="223F85BF" w14:textId="069932E6" w:rsidR="000935BD" w:rsidRPr="001B1ED0" w:rsidRDefault="00EB045D" w:rsidP="001B1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MingLiU-ExtB"/>
        </w:rPr>
      </w:pPr>
      <w:r>
        <w:rPr>
          <w:rFonts w:eastAsia="MingLiU-ExtB"/>
          <w:b/>
          <w:bCs/>
        </w:rPr>
        <w:t>SETTLEMENT AGREEMENT AND CONSENT ORDER</w:t>
      </w:r>
    </w:p>
    <w:p w14:paraId="79FAC4E7" w14:textId="77777777" w:rsidR="000935BD" w:rsidRPr="001B1ED0" w:rsidRDefault="000935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MingLiU-ExtB"/>
        </w:rPr>
      </w:pPr>
    </w:p>
    <w:p w14:paraId="32A8BA95" w14:textId="1B99F6DF" w:rsidR="00EB045D" w:rsidRDefault="00EB045D" w:rsidP="00EB045D">
      <w:pPr>
        <w:ind w:firstLine="720"/>
        <w:jc w:val="both"/>
      </w:pPr>
      <w:r w:rsidRPr="00C63683">
        <w:t xml:space="preserve">This matter comes before the Maryland Board </w:t>
      </w:r>
      <w:r w:rsidR="00E42742">
        <w:t>of</w:t>
      </w:r>
      <w:r w:rsidRPr="00C63683">
        <w:t xml:space="preserve"> </w:t>
      </w:r>
      <w:r>
        <w:t>Individual Tax Preparers</w:t>
      </w:r>
      <w:r w:rsidRPr="00C63683">
        <w:t xml:space="preserve"> (“Board”) as the result of the Board conducting a random audit of </w:t>
      </w:r>
      <w:r w:rsidR="00396C6E">
        <w:t>Charlie Molina’s</w:t>
      </w:r>
      <w:r w:rsidRPr="00C63683">
        <w:t xml:space="preserve"> (“Respondent”) license renewal application to determine if the Respondent met the Board’s license renewal </w:t>
      </w:r>
      <w:r>
        <w:t>continuing education</w:t>
      </w:r>
      <w:r w:rsidRPr="00C63683">
        <w:t xml:space="preserve"> (“</w:t>
      </w:r>
      <w:r>
        <w:t>CE</w:t>
      </w:r>
      <w:r w:rsidRPr="00C63683">
        <w:t>”) requirements</w:t>
      </w:r>
      <w:r>
        <w:t xml:space="preserve"> in accordance with the Maryland Individual Tax Preparer’s Act (“Act”), Md. Code Ann. Bus. Occ. &amp; Prof. (“BOP”), §21-309(a)(2) and related regulations, Code of Maryland Regulations (“COMAR”) 09.38.02.02A</w:t>
      </w:r>
      <w:r w:rsidRPr="00C63683">
        <w:t xml:space="preserve">. As a result of the audit and subsequent investigation, the Board </w:t>
      </w:r>
      <w:r w:rsidR="00396C6E">
        <w:t>issued a Notice of Charges and Order for Hearing</w:t>
      </w:r>
      <w:r>
        <w:t xml:space="preserve"> against Respondent</w:t>
      </w:r>
      <w:r w:rsidRPr="00C63683">
        <w:t xml:space="preserve">. </w:t>
      </w:r>
      <w:r w:rsidR="00396C6E">
        <w:t xml:space="preserve">A hearing has been scheduled before the Board, set to take place on November 10, 2025. </w:t>
      </w:r>
      <w:r w:rsidRPr="00C63683">
        <w:t xml:space="preserve">To resolve </w:t>
      </w:r>
      <w:r w:rsidR="00396C6E">
        <w:t>the matter before the hearing</w:t>
      </w:r>
      <w:r w:rsidRPr="00C63683">
        <w:t>, the Board and the Respondent (collectively “Parties”) have agreed to enter into this Settlement Agreement and Consent Order (“Consent Order”)</w:t>
      </w:r>
      <w:r>
        <w:t>. The Parties</w:t>
      </w:r>
      <w:r w:rsidRPr="00C63683">
        <w:t xml:space="preserve"> agree and stipulate as follows:</w:t>
      </w:r>
    </w:p>
    <w:p w14:paraId="23BC3A8F" w14:textId="77777777" w:rsidR="00EB045D" w:rsidRPr="00C63683" w:rsidRDefault="00EB045D" w:rsidP="00EB045D">
      <w:pPr>
        <w:ind w:firstLine="720"/>
        <w:jc w:val="both"/>
      </w:pPr>
    </w:p>
    <w:p w14:paraId="1278C720" w14:textId="07AEE20D" w:rsidR="00EB045D" w:rsidRDefault="00EB045D" w:rsidP="00EB045D">
      <w:pPr>
        <w:pStyle w:val="ListParagraph"/>
        <w:numPr>
          <w:ilvl w:val="0"/>
          <w:numId w:val="4"/>
        </w:numPr>
        <w:ind w:left="0" w:firstLine="720"/>
        <w:jc w:val="both"/>
      </w:pPr>
      <w:r>
        <w:t xml:space="preserve">At all </w:t>
      </w:r>
      <w:r w:rsidR="000935BD" w:rsidRPr="001B1ED0">
        <w:t xml:space="preserve">times relevant to the Complaint, the Board had jurisdiction over the Respondent, who holds a </w:t>
      </w:r>
      <w:r w:rsidR="00E370DA">
        <w:t>registration</w:t>
      </w:r>
      <w:r w:rsidR="000935BD" w:rsidRPr="001B1ED0">
        <w:t xml:space="preserve"> issued by the Board to prepare individual tax returns (“</w:t>
      </w:r>
      <w:r w:rsidR="00A26CC8">
        <w:t>registration</w:t>
      </w:r>
      <w:r w:rsidR="00D33E3B">
        <w:t>”) under number 01-</w:t>
      </w:r>
      <w:r w:rsidR="00B31EF5">
        <w:t>8450</w:t>
      </w:r>
      <w:r w:rsidR="000935BD" w:rsidRPr="001B1ED0">
        <w:t>, and the subject matter of this Compla</w:t>
      </w:r>
      <w:r>
        <w:t>in</w:t>
      </w:r>
      <w:r w:rsidR="008B6CF9">
        <w:t>t</w:t>
      </w:r>
      <w:r>
        <w:t>.</w:t>
      </w:r>
    </w:p>
    <w:p w14:paraId="5A292CFA" w14:textId="77777777" w:rsidR="00EB045D" w:rsidRDefault="00EB045D" w:rsidP="00B31EF5"/>
    <w:p w14:paraId="0DBFCD86" w14:textId="540AFE72" w:rsidR="001E7DE7" w:rsidRPr="00906FF2" w:rsidRDefault="000935BD" w:rsidP="00906FF2">
      <w:pPr>
        <w:pStyle w:val="ListParagraph"/>
        <w:numPr>
          <w:ilvl w:val="0"/>
          <w:numId w:val="4"/>
        </w:numPr>
        <w:ind w:left="0" w:firstLine="720"/>
        <w:jc w:val="both"/>
      </w:pPr>
      <w:r w:rsidRPr="001B1ED0">
        <w:t xml:space="preserve"> </w:t>
      </w:r>
      <w:r w:rsidR="00EB045D">
        <w:t xml:space="preserve">The Act, </w:t>
      </w:r>
      <w:r w:rsidR="006F0AD1">
        <w:t>BOP</w:t>
      </w:r>
      <w:r w:rsidRPr="001B1ED0">
        <w:t xml:space="preserve"> §21-309(a)(2)</w:t>
      </w:r>
      <w:r w:rsidR="00EB045D">
        <w:t>,</w:t>
      </w:r>
      <w:r w:rsidRPr="001B1ED0">
        <w:t xml:space="preserve"> provides that “[a]n individual shall complete at least 16 hours of continuing education activities every 2 years</w:t>
      </w:r>
      <w:r w:rsidR="004D308C">
        <w:t>.</w:t>
      </w:r>
      <w:r w:rsidRPr="001B1ED0">
        <w:t>”</w:t>
      </w:r>
      <w:r w:rsidR="0048757C">
        <w:t xml:space="preserve"> </w:t>
      </w:r>
      <w:r w:rsidRPr="001B1ED0">
        <w:t>Code of Maryland Regulations (“COMAR”) 09.38.02.02A and B require renewal applicant</w:t>
      </w:r>
      <w:r w:rsidR="00542D92">
        <w:t>s</w:t>
      </w:r>
      <w:r w:rsidRPr="001B1ED0">
        <w:t xml:space="preserve"> to complete at least 16 hours of qualifying continuing education</w:t>
      </w:r>
      <w:r w:rsidR="002F42DB">
        <w:t xml:space="preserve"> (“CE”)</w:t>
      </w:r>
      <w:r w:rsidRPr="001B1ED0">
        <w:t xml:space="preserve"> for each 2-year registration term, of which a minimum of 4 hours must be in Maryland tax-related subjects</w:t>
      </w:r>
      <w:r w:rsidR="00EB045D">
        <w:t>.</w:t>
      </w:r>
      <w:r w:rsidR="001E7DE7">
        <w:t xml:space="preserve"> </w:t>
      </w:r>
    </w:p>
    <w:p w14:paraId="123C4F78" w14:textId="77777777" w:rsidR="001E7DE7" w:rsidRDefault="001E7DE7" w:rsidP="001E7DE7">
      <w:pPr>
        <w:pStyle w:val="ListParagraph"/>
      </w:pPr>
    </w:p>
    <w:p w14:paraId="17049502" w14:textId="0CB4C394" w:rsidR="007B5751" w:rsidRPr="001E7DE7" w:rsidRDefault="001E7DE7" w:rsidP="001E7DE7">
      <w:pPr>
        <w:pStyle w:val="ListParagraph"/>
        <w:numPr>
          <w:ilvl w:val="0"/>
          <w:numId w:val="4"/>
        </w:numPr>
        <w:ind w:left="0" w:firstLine="720"/>
        <w:jc w:val="both"/>
        <w:rPr>
          <w:rFonts w:eastAsia="MingLiU-ExtB"/>
        </w:rPr>
      </w:pPr>
      <w:r>
        <w:t xml:space="preserve">Pursuant to </w:t>
      </w:r>
      <w:r w:rsidRPr="0049154A">
        <w:rPr>
          <w:rFonts w:eastAsia="MingLiU-ExtB"/>
        </w:rPr>
        <w:t>COMAR 09.38.02.04B</w:t>
      </w:r>
      <w:r>
        <w:rPr>
          <w:rFonts w:eastAsia="MingLiU-ExtB"/>
        </w:rPr>
        <w:t>, “</w:t>
      </w:r>
      <w:r w:rsidRPr="0049154A">
        <w:rPr>
          <w:rFonts w:eastAsia="MingLiU-ExtB"/>
        </w:rPr>
        <w:t>The Board, at its discretion, may verify the information and documentation supporting a renewal applicant’s certification of continuing education credit. Upon request, the renewal applicant shall submit to the Board, or its designee, copies of the original documentation supporting the certification provided under §A of this regulation.</w:t>
      </w:r>
      <w:r>
        <w:rPr>
          <w:rFonts w:eastAsia="MingLiU-ExtB"/>
        </w:rPr>
        <w:t>”</w:t>
      </w:r>
    </w:p>
    <w:p w14:paraId="493BDA72" w14:textId="77777777" w:rsidR="007B5751" w:rsidRDefault="007B5751" w:rsidP="007B5751">
      <w:pPr>
        <w:pStyle w:val="ListParagraph"/>
      </w:pPr>
    </w:p>
    <w:p w14:paraId="7AEB5834" w14:textId="03818388" w:rsidR="001E7DE7" w:rsidRDefault="001E7DE7" w:rsidP="001E7DE7">
      <w:pPr>
        <w:pStyle w:val="ListParagraph"/>
        <w:numPr>
          <w:ilvl w:val="0"/>
          <w:numId w:val="4"/>
        </w:numPr>
        <w:ind w:left="0" w:firstLine="720"/>
        <w:jc w:val="both"/>
        <w:rPr>
          <w:rFonts w:eastAsia="MingLiU-ExtB"/>
        </w:rPr>
      </w:pPr>
      <w:r w:rsidRPr="001E7DE7">
        <w:rPr>
          <w:rFonts w:eastAsia="MingLiU-ExtB"/>
        </w:rPr>
        <w:lastRenderedPageBreak/>
        <w:t xml:space="preserve">COMAR 09.38.01.05E(1)(a) requires an applicant or individual tax preparer to respond in writing within 30 days of receiving a written communication requesting a response from the Board. </w:t>
      </w:r>
    </w:p>
    <w:p w14:paraId="42015E0C" w14:textId="77777777" w:rsidR="00B31EF5" w:rsidRPr="00906FF2" w:rsidRDefault="00B31EF5" w:rsidP="00B31EF5">
      <w:pPr>
        <w:pStyle w:val="ListParagraph"/>
        <w:jc w:val="both"/>
        <w:rPr>
          <w:rFonts w:eastAsia="MingLiU-ExtB"/>
        </w:rPr>
      </w:pPr>
    </w:p>
    <w:p w14:paraId="48C237A2" w14:textId="0DA272CE" w:rsidR="0049154A" w:rsidRDefault="0049154A" w:rsidP="0049154A">
      <w:pPr>
        <w:pStyle w:val="ListParagraph"/>
        <w:numPr>
          <w:ilvl w:val="0"/>
          <w:numId w:val="4"/>
        </w:numPr>
        <w:ind w:left="0" w:firstLine="720"/>
        <w:jc w:val="both"/>
        <w:rPr>
          <w:rFonts w:eastAsia="MingLiU-ExtB"/>
        </w:rPr>
      </w:pPr>
      <w:r w:rsidRPr="007B5751">
        <w:rPr>
          <w:rFonts w:eastAsia="MingLiU-ExtB"/>
        </w:rPr>
        <w:t>COMAR 09.38.01.05</w:t>
      </w:r>
      <w:r>
        <w:rPr>
          <w:rFonts w:eastAsia="MingLiU-ExtB"/>
        </w:rPr>
        <w:t>A</w:t>
      </w:r>
      <w:r w:rsidRPr="007B5751">
        <w:rPr>
          <w:rFonts w:eastAsia="MingLiU-ExtB"/>
        </w:rPr>
        <w:t xml:space="preserve">(1) </w:t>
      </w:r>
      <w:r w:rsidR="001E7DE7">
        <w:rPr>
          <w:rFonts w:eastAsia="MingLiU-ExtB"/>
        </w:rPr>
        <w:t>prohibits</w:t>
      </w:r>
      <w:r>
        <w:rPr>
          <w:rFonts w:eastAsia="MingLiU-ExtB"/>
        </w:rPr>
        <w:t xml:space="preserve"> </w:t>
      </w:r>
      <w:r w:rsidR="001E7DE7">
        <w:rPr>
          <w:rFonts w:eastAsia="MingLiU-ExtB"/>
        </w:rPr>
        <w:t>a</w:t>
      </w:r>
      <w:r w:rsidRPr="007B5751">
        <w:rPr>
          <w:rFonts w:eastAsia="MingLiU-ExtB"/>
        </w:rPr>
        <w:t xml:space="preserve">n individual tax preparer </w:t>
      </w:r>
      <w:r w:rsidR="001E7DE7">
        <w:rPr>
          <w:rFonts w:eastAsia="MingLiU-ExtB"/>
        </w:rPr>
        <w:t>from</w:t>
      </w:r>
      <w:r w:rsidRPr="007B5751">
        <w:rPr>
          <w:rFonts w:eastAsia="MingLiU-ExtB"/>
        </w:rPr>
        <w:t xml:space="preserve"> </w:t>
      </w:r>
      <w:r w:rsidR="001E7DE7" w:rsidRPr="007B5751">
        <w:rPr>
          <w:rFonts w:eastAsia="MingLiU-ExtB"/>
        </w:rPr>
        <w:t>commit</w:t>
      </w:r>
      <w:r w:rsidR="001E7DE7">
        <w:rPr>
          <w:rFonts w:eastAsia="MingLiU-ExtB"/>
        </w:rPr>
        <w:t>ting</w:t>
      </w:r>
      <w:r w:rsidRPr="007B5751">
        <w:rPr>
          <w:rFonts w:eastAsia="MingLiU-ExtB"/>
        </w:rPr>
        <w:t xml:space="preserve"> any act that reflects adversely on the individual tax preparer’s fitness to provide individual tax preparation services.</w:t>
      </w:r>
      <w:r>
        <w:rPr>
          <w:rFonts w:eastAsia="MingLiU-ExtB"/>
        </w:rPr>
        <w:t xml:space="preserve"> </w:t>
      </w:r>
    </w:p>
    <w:p w14:paraId="4AE77001" w14:textId="77777777" w:rsidR="007B5751" w:rsidRPr="001E7DE7" w:rsidRDefault="007B5751" w:rsidP="001E7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MingLiU-ExtB"/>
        </w:rPr>
      </w:pPr>
    </w:p>
    <w:p w14:paraId="38C13E88" w14:textId="70EAFEB1" w:rsidR="00EB045D" w:rsidRDefault="00EB045D" w:rsidP="0049154A">
      <w:pPr>
        <w:pStyle w:val="ListParagraph"/>
        <w:numPr>
          <w:ilvl w:val="0"/>
          <w:numId w:val="4"/>
        </w:numPr>
        <w:ind w:left="0" w:firstLine="720"/>
        <w:jc w:val="both"/>
      </w:pPr>
      <w:r>
        <w:t>O</w:t>
      </w:r>
      <w:r w:rsidR="000935BD" w:rsidRPr="001B1ED0">
        <w:t xml:space="preserve">n or about </w:t>
      </w:r>
      <w:r w:rsidR="00B31EF5">
        <w:t xml:space="preserve">February 25, 2024, Respondent completed a renewal application with the Board in which the Respondent certified under penalties of perjury that Respondent satisfied the sixteen (16) hour continuing education CE requirement pertaining to the renewal term. </w:t>
      </w:r>
    </w:p>
    <w:p w14:paraId="6888B016" w14:textId="77777777" w:rsidR="00EB045D" w:rsidRDefault="00EB045D" w:rsidP="00EB045D">
      <w:pPr>
        <w:pStyle w:val="ListParagraph"/>
      </w:pPr>
    </w:p>
    <w:p w14:paraId="1E89D84D" w14:textId="77777777" w:rsidR="00EB045D" w:rsidRPr="00EB045D" w:rsidRDefault="008B6CF9" w:rsidP="00EB045D">
      <w:pPr>
        <w:pStyle w:val="ListParagraph"/>
        <w:numPr>
          <w:ilvl w:val="0"/>
          <w:numId w:val="4"/>
        </w:numPr>
        <w:ind w:left="0" w:firstLine="720"/>
        <w:jc w:val="both"/>
      </w:pPr>
      <w:r>
        <w:t>The Boa</w:t>
      </w:r>
      <w:r w:rsidR="00EB045D">
        <w:t xml:space="preserve">rd’s </w:t>
      </w:r>
      <w:r w:rsidR="000935BD" w:rsidRPr="001B1ED0">
        <w:t xml:space="preserve">renewal application requires an applicant to certify to the accuracy of the information provided in the application. </w:t>
      </w:r>
      <w:r>
        <w:t>The Board alleges t</w:t>
      </w:r>
      <w:r w:rsidR="000935BD" w:rsidRPr="001B1ED0">
        <w:t xml:space="preserve">his certification states, in pertinent part: </w:t>
      </w:r>
      <w:r w:rsidR="000935BD" w:rsidRPr="00EB045D">
        <w:rPr>
          <w:i/>
          <w:iCs/>
        </w:rPr>
        <w:t>“I hereby certify, under penalty of perjury, that the information contained herein is true and correct to the best of my knowledge, information, and belief. . . “</w:t>
      </w:r>
    </w:p>
    <w:p w14:paraId="293BBCA5" w14:textId="77777777" w:rsidR="00EB045D" w:rsidRDefault="00EB045D" w:rsidP="00EB045D">
      <w:pPr>
        <w:pStyle w:val="ListParagraph"/>
      </w:pPr>
    </w:p>
    <w:p w14:paraId="1AB5E9C5" w14:textId="77777777" w:rsidR="00EB045D" w:rsidRDefault="00EB045D" w:rsidP="00EB045D">
      <w:pPr>
        <w:pStyle w:val="ListParagraph"/>
        <w:numPr>
          <w:ilvl w:val="0"/>
          <w:numId w:val="4"/>
        </w:numPr>
        <w:ind w:left="0" w:firstLine="720"/>
        <w:jc w:val="both"/>
      </w:pPr>
      <w:r>
        <w:t>O</w:t>
      </w:r>
      <w:r w:rsidR="000935BD" w:rsidRPr="001B1ED0">
        <w:t>n the renewal application, the Respondent certified completion of the required 16 hours of CE as of the application date</w:t>
      </w:r>
      <w:r w:rsidR="008B6CF9">
        <w:t xml:space="preserve"> </w:t>
      </w:r>
      <w:r>
        <w:t xml:space="preserve">and </w:t>
      </w:r>
      <w:r w:rsidR="008B6CF9">
        <w:t>t</w:t>
      </w:r>
      <w:r w:rsidR="000935BD" w:rsidRPr="001B1ED0">
        <w:t xml:space="preserve">he Board approved the renewal based upon </w:t>
      </w:r>
      <w:r w:rsidR="00572C61">
        <w:t>the Respondent’s</w:t>
      </w:r>
      <w:r w:rsidR="000935BD" w:rsidRPr="001B1ED0">
        <w:t xml:space="preserve"> certification.</w:t>
      </w:r>
      <w:r w:rsidR="008B6CF9">
        <w:t xml:space="preserve"> </w:t>
      </w:r>
    </w:p>
    <w:p w14:paraId="4FD5EC94" w14:textId="77777777" w:rsidR="00EB045D" w:rsidRDefault="00EB045D" w:rsidP="00EB045D">
      <w:pPr>
        <w:pStyle w:val="ListParagraph"/>
      </w:pPr>
    </w:p>
    <w:p w14:paraId="3F23141B" w14:textId="5540EF4A" w:rsidR="000935BD" w:rsidRDefault="00EB045D" w:rsidP="00EB045D">
      <w:pPr>
        <w:pStyle w:val="ListParagraph"/>
        <w:numPr>
          <w:ilvl w:val="0"/>
          <w:numId w:val="4"/>
        </w:numPr>
        <w:ind w:left="0" w:firstLine="720"/>
        <w:jc w:val="both"/>
      </w:pPr>
      <w:r>
        <w:t>W</w:t>
      </w:r>
      <w:r w:rsidR="000935BD" w:rsidRPr="001B1ED0">
        <w:t xml:space="preserve">hen the Respondent submitted the </w:t>
      </w:r>
      <w:r w:rsidR="00B139B9">
        <w:t>registration</w:t>
      </w:r>
      <w:r w:rsidR="000935BD" w:rsidRPr="001B1ED0">
        <w:t xml:space="preserve"> renewal application, the Board initiated a random audit to confirm that the Respondent had completed the CE requirements</w:t>
      </w:r>
      <w:r w:rsidR="00D33E3B">
        <w:t xml:space="preserve"> and </w:t>
      </w:r>
      <w:r w:rsidR="000935BD" w:rsidRPr="001B1ED0">
        <w:t xml:space="preserve">requested that the Respondent provide documentation for the CE’s that the Respondent had certified completing. </w:t>
      </w:r>
    </w:p>
    <w:p w14:paraId="611E93EA" w14:textId="77777777" w:rsidR="00EB045D" w:rsidRDefault="00EB045D" w:rsidP="00EB045D">
      <w:pPr>
        <w:pStyle w:val="ListParagraph"/>
      </w:pPr>
    </w:p>
    <w:p w14:paraId="48128352" w14:textId="30B056AD" w:rsidR="00810CAE" w:rsidRDefault="00B31EF5" w:rsidP="00810CAE">
      <w:pPr>
        <w:pStyle w:val="ListParagraph"/>
        <w:numPr>
          <w:ilvl w:val="0"/>
          <w:numId w:val="4"/>
        </w:numPr>
        <w:ind w:left="0" w:firstLine="720"/>
        <w:jc w:val="both"/>
      </w:pPr>
      <w:r>
        <w:t xml:space="preserve">After Respondent’s submission of the renewal application, on </w:t>
      </w:r>
      <w:proofErr w:type="gramStart"/>
      <w:r>
        <w:t>our</w:t>
      </w:r>
      <w:proofErr w:type="gramEnd"/>
      <w:r>
        <w:t xml:space="preserve"> about February 25, 2024, the Board sent an official email communication to Respondent advising of the audit and </w:t>
      </w:r>
      <w:proofErr w:type="gramStart"/>
      <w:r>
        <w:t>requiring</w:t>
      </w:r>
      <w:proofErr w:type="gramEnd"/>
      <w:r>
        <w:t xml:space="preserve"> that Respondent submit a list of all CE classes or courses taken in connection with the CE requirement, along with copies of completion certificates, to the Board by March 26, 2024. Respondent failed to provide any response to this request. </w:t>
      </w:r>
    </w:p>
    <w:p w14:paraId="4487C1D4" w14:textId="1E94AD22" w:rsidR="00810CAE" w:rsidRDefault="00810CAE" w:rsidP="00810CAE">
      <w:pPr>
        <w:pStyle w:val="ListParagraph"/>
        <w:jc w:val="both"/>
      </w:pPr>
    </w:p>
    <w:p w14:paraId="4BC99A2C" w14:textId="609DAA7A" w:rsidR="00810CAE" w:rsidRDefault="00810CAE" w:rsidP="00810CAE">
      <w:pPr>
        <w:pStyle w:val="ListParagraph"/>
        <w:numPr>
          <w:ilvl w:val="0"/>
          <w:numId w:val="4"/>
        </w:numPr>
        <w:ind w:left="0" w:firstLine="720"/>
        <w:jc w:val="both"/>
      </w:pPr>
      <w:r>
        <w:t xml:space="preserve">In addition, on </w:t>
      </w:r>
      <w:proofErr w:type="gramStart"/>
      <w:r>
        <w:t>our</w:t>
      </w:r>
      <w:proofErr w:type="gramEnd"/>
      <w:r>
        <w:t xml:space="preserve"> about September 30, 2024, the Board sent a written communication to Respondent via certified and first-class mail notifying Respondent that a complaint had been opened against you in this matter and requesting a written response regarding the CE issues from you by October 30, 2024. Respondent subsequently submitted multiple CE certificates reflecting your completion of CE training from September to November of 2024, well after the date of your application and certification.  </w:t>
      </w:r>
    </w:p>
    <w:p w14:paraId="4685E5DA" w14:textId="77777777" w:rsidR="0049154A" w:rsidRDefault="0049154A" w:rsidP="00810CAE"/>
    <w:p w14:paraId="799E2E59" w14:textId="09C61A1E" w:rsidR="0049154A" w:rsidRDefault="0049154A" w:rsidP="0049154A">
      <w:pPr>
        <w:pStyle w:val="ListParagraph"/>
        <w:numPr>
          <w:ilvl w:val="0"/>
          <w:numId w:val="4"/>
        </w:numPr>
        <w:ind w:left="0" w:firstLine="720"/>
        <w:jc w:val="both"/>
        <w:rPr>
          <w:rFonts w:eastAsia="MingLiU-ExtB"/>
        </w:rPr>
      </w:pPr>
      <w:r w:rsidRPr="007B5751">
        <w:rPr>
          <w:rFonts w:eastAsia="MingLiU-ExtB"/>
          <w:lang w:val="en-GB"/>
        </w:rPr>
        <w:t>The Act, BOP §2</w:t>
      </w:r>
      <w:r w:rsidRPr="007B5751">
        <w:rPr>
          <w:rFonts w:eastAsia="MingLiU-ExtB"/>
        </w:rPr>
        <w:t>1-311(a), provides</w:t>
      </w:r>
      <w:r>
        <w:rPr>
          <w:rFonts w:eastAsia="MingLiU-ExtB"/>
          <w:b/>
          <w:bCs/>
        </w:rPr>
        <w:t xml:space="preserve"> </w:t>
      </w:r>
      <w:r w:rsidRPr="0049154A">
        <w:rPr>
          <w:rFonts w:eastAsia="MingLiU-ExtB"/>
        </w:rPr>
        <w:t>“</w:t>
      </w:r>
      <w:r w:rsidRPr="007B5751">
        <w:rPr>
          <w:rFonts w:eastAsia="MingLiU-ExtB"/>
        </w:rPr>
        <w:t>Subject to the hearing provisions of §21-312 of this subtitle, the Board, on the affirmative vote of a majority of its members then serving, may deny a registration to any applicant, reprimand any registered individual, or suspend or revoke a registration if the applicant or registered individual:</w:t>
      </w:r>
      <w:r>
        <w:rPr>
          <w:rFonts w:eastAsia="MingLiU-ExtB"/>
        </w:rPr>
        <w:t xml:space="preserve"> … </w:t>
      </w:r>
      <w:r w:rsidRPr="007B5751">
        <w:rPr>
          <w:rFonts w:eastAsia="MingLiU-ExtB"/>
        </w:rPr>
        <w:t>(5) violates any regulation adopted under this title</w:t>
      </w:r>
      <w:r w:rsidR="00906FF2">
        <w:rPr>
          <w:rFonts w:eastAsia="MingLiU-ExtB"/>
        </w:rPr>
        <w:t>.</w:t>
      </w:r>
      <w:r>
        <w:rPr>
          <w:rFonts w:eastAsia="MingLiU-ExtB"/>
        </w:rPr>
        <w:t>” In addition, the Board may assess a violator a civil penalty no</w:t>
      </w:r>
      <w:r w:rsidR="00906FF2">
        <w:rPr>
          <w:rFonts w:eastAsia="MingLiU-ExtB"/>
        </w:rPr>
        <w:t>t</w:t>
      </w:r>
      <w:r>
        <w:rPr>
          <w:rFonts w:eastAsia="MingLiU-ExtB"/>
        </w:rPr>
        <w:t xml:space="preserve"> exceeding $5000 per violation. BOP §21-311(b)(1).</w:t>
      </w:r>
    </w:p>
    <w:p w14:paraId="4A556757" w14:textId="77777777" w:rsidR="0049154A" w:rsidRDefault="0049154A" w:rsidP="0049154A">
      <w:pPr>
        <w:jc w:val="both"/>
        <w:rPr>
          <w:rFonts w:eastAsia="MingLiU-ExtB"/>
        </w:rPr>
      </w:pPr>
    </w:p>
    <w:p w14:paraId="74290B3E" w14:textId="495560C4" w:rsidR="0049154A" w:rsidRPr="0049154A" w:rsidRDefault="0049154A" w:rsidP="0049154A">
      <w:pPr>
        <w:jc w:val="both"/>
        <w:rPr>
          <w:rFonts w:eastAsia="MingLiU-ExtB"/>
        </w:rPr>
        <w:sectPr w:rsidR="0049154A" w:rsidRPr="0049154A" w:rsidSect="007C34F5">
          <w:headerReference w:type="default" r:id="rId8"/>
          <w:footerReference w:type="default" r:id="rId9"/>
          <w:type w:val="continuous"/>
          <w:pgSz w:w="12240" w:h="15840"/>
          <w:pgMar w:top="1440" w:right="1440" w:bottom="1440" w:left="1440" w:header="1440" w:footer="720" w:gutter="0"/>
          <w:cols w:space="720"/>
          <w:noEndnote/>
          <w:docGrid w:linePitch="326"/>
        </w:sectPr>
      </w:pPr>
    </w:p>
    <w:p w14:paraId="4418CCCF" w14:textId="520668E3" w:rsidR="007B5751" w:rsidRPr="00C63683" w:rsidRDefault="007B5751" w:rsidP="00E42742">
      <w:pPr>
        <w:pStyle w:val="ListParagraph"/>
        <w:widowControl/>
        <w:numPr>
          <w:ilvl w:val="0"/>
          <w:numId w:val="4"/>
        </w:numPr>
        <w:autoSpaceDE/>
        <w:autoSpaceDN/>
        <w:adjustRightInd/>
        <w:ind w:left="0" w:firstLine="720"/>
        <w:jc w:val="both"/>
      </w:pPr>
      <w:r w:rsidRPr="00C63683">
        <w:t>To resolve this matter</w:t>
      </w:r>
      <w:r w:rsidR="00906FF2">
        <w:t xml:space="preserve"> without a formal hearing</w:t>
      </w:r>
      <w:r w:rsidRPr="00C63683">
        <w:t>, the Respondent hereby admits to a finding</w:t>
      </w:r>
      <w:r>
        <w:t xml:space="preserve"> </w:t>
      </w:r>
      <w:r w:rsidRPr="00C63683">
        <w:t xml:space="preserve">that the Respondent violated </w:t>
      </w:r>
      <w:r>
        <w:t>Bus. Occ. &amp; Prof. §</w:t>
      </w:r>
      <w:r w:rsidR="0049154A">
        <w:t>21-</w:t>
      </w:r>
      <w:r w:rsidR="00810CAE">
        <w:t>309</w:t>
      </w:r>
      <w:r w:rsidR="002E0FB4">
        <w:t>, 21-311(a)(1)(5)(6),</w:t>
      </w:r>
      <w:r w:rsidR="0049154A">
        <w:t xml:space="preserve"> as well as COMAR 09.38.01.05 and </w:t>
      </w:r>
      <w:r w:rsidR="00810CAE">
        <w:t>09.38.02.02</w:t>
      </w:r>
      <w:r w:rsidRPr="00C63683">
        <w:t>, and consents to the Board entering a</w:t>
      </w:r>
      <w:r w:rsidR="00E42742">
        <w:t xml:space="preserve">n </w:t>
      </w:r>
      <w:r w:rsidRPr="00C63683">
        <w:t>Order</w:t>
      </w:r>
      <w:r>
        <w:t xml:space="preserve"> requiring</w:t>
      </w:r>
      <w:r w:rsidRPr="00C63683">
        <w:t xml:space="preserve"> that</w:t>
      </w:r>
      <w:r w:rsidR="00E42742">
        <w:t xml:space="preserve"> </w:t>
      </w:r>
      <w:r>
        <w:t xml:space="preserve">Respondent shall </w:t>
      </w:r>
      <w:r w:rsidRPr="00C63683">
        <w:t>pay</w:t>
      </w:r>
      <w:r>
        <w:t xml:space="preserve"> to the Board</w:t>
      </w:r>
      <w:r w:rsidRPr="00C63683">
        <w:t xml:space="preserve"> a civil monetary penalty</w:t>
      </w:r>
      <w:r>
        <w:t xml:space="preserve"> </w:t>
      </w:r>
      <w:r w:rsidRPr="00C63683">
        <w:t xml:space="preserve">in the amount of </w:t>
      </w:r>
      <w:r w:rsidR="002E0FB4">
        <w:rPr>
          <w:smallCaps/>
        </w:rPr>
        <w:t xml:space="preserve">FIVE HUNDRED DOLLARS </w:t>
      </w:r>
      <w:r w:rsidRPr="00C63683">
        <w:t>($</w:t>
      </w:r>
      <w:r w:rsidR="002E0FB4">
        <w:t>50</w:t>
      </w:r>
      <w:r w:rsidR="00E42742">
        <w:t>0</w:t>
      </w:r>
      <w:r w:rsidRPr="00C63683">
        <w:t>) by certified check, cashier’s check, or money order</w:t>
      </w:r>
      <w:r>
        <w:t xml:space="preserve"> </w:t>
      </w:r>
      <w:r w:rsidRPr="00C63683">
        <w:t xml:space="preserve">made payable to the “Maryland Board </w:t>
      </w:r>
      <w:r w:rsidR="00E42742">
        <w:t>of Individual Tax Preparers</w:t>
      </w:r>
      <w:r w:rsidRPr="00C63683">
        <w:t>”</w:t>
      </w:r>
      <w:r>
        <w:t xml:space="preserve"> within thirty (30) days of signing this Consent Order.</w:t>
      </w:r>
      <w:r w:rsidR="002E0FB4">
        <w:t xml:space="preserve"> Along with the $500 civil monetary penalty, Respondent further agrees to complete eight (8) CE hours to be completed within ninety (90) days of signing this Consent Order. </w:t>
      </w:r>
    </w:p>
    <w:p w14:paraId="7F9A5FDF" w14:textId="77777777" w:rsidR="007B5751" w:rsidRPr="00C63683" w:rsidRDefault="007B5751" w:rsidP="007B5751">
      <w:pPr>
        <w:jc w:val="both"/>
      </w:pPr>
    </w:p>
    <w:p w14:paraId="605CF136" w14:textId="2DED89C7" w:rsidR="007B5751" w:rsidRDefault="007B5751" w:rsidP="00E42742">
      <w:pPr>
        <w:pStyle w:val="ListParagraph"/>
        <w:widowControl/>
        <w:numPr>
          <w:ilvl w:val="0"/>
          <w:numId w:val="4"/>
        </w:numPr>
        <w:autoSpaceDE/>
        <w:autoSpaceDN/>
        <w:adjustRightInd/>
        <w:ind w:left="0" w:firstLine="720"/>
        <w:jc w:val="both"/>
      </w:pPr>
      <w:r>
        <w:t>The Respondent agrees that should Respondent fail to pay the civil monetary penalty</w:t>
      </w:r>
      <w:r w:rsidR="002E0FB4">
        <w:t xml:space="preserve"> or complete the CE hours</w:t>
      </w:r>
      <w:r>
        <w:t xml:space="preserve"> as agreed herein, the Board shall automatically suspend the Respondent’s </w:t>
      </w:r>
      <w:r w:rsidR="00E42742">
        <w:t>registration</w:t>
      </w:r>
      <w:r>
        <w:t xml:space="preserve"> without </w:t>
      </w:r>
      <w:proofErr w:type="gramStart"/>
      <w:r>
        <w:t>a hearing</w:t>
      </w:r>
      <w:proofErr w:type="gramEnd"/>
      <w:r>
        <w:t>, and that the suspension shall continue until the Respondent provides satisfactory evidence to the Board that Respondent has fully complied with this Consent Order’s terms.</w:t>
      </w:r>
    </w:p>
    <w:p w14:paraId="689E808D" w14:textId="77777777" w:rsidR="007B5751" w:rsidRPr="00C63683" w:rsidRDefault="007B5751" w:rsidP="007B5751">
      <w:pPr>
        <w:ind w:firstLine="720"/>
        <w:jc w:val="both"/>
      </w:pPr>
    </w:p>
    <w:p w14:paraId="23B69C8F" w14:textId="77777777" w:rsidR="007B5751" w:rsidRPr="00C63683" w:rsidRDefault="007B5751" w:rsidP="00E42742">
      <w:pPr>
        <w:widowControl/>
        <w:numPr>
          <w:ilvl w:val="0"/>
          <w:numId w:val="4"/>
        </w:numPr>
        <w:autoSpaceDE/>
        <w:autoSpaceDN/>
        <w:adjustRightInd/>
        <w:ind w:left="0" w:firstLine="720"/>
        <w:jc w:val="both"/>
      </w:pPr>
      <w:r w:rsidRPr="00C63683">
        <w:t xml:space="preserve">The Respondent </w:t>
      </w:r>
      <w:r>
        <w:t xml:space="preserve">agrees and </w:t>
      </w:r>
      <w:r w:rsidRPr="00C63683">
        <w:t>acknowledges that this Consent Order shall constitute a Final Order of the Board and shall be enforceable as such.</w:t>
      </w:r>
    </w:p>
    <w:p w14:paraId="2FA0CCAD" w14:textId="77777777" w:rsidR="007B5751" w:rsidRPr="00C63683" w:rsidRDefault="007B5751" w:rsidP="007B5751">
      <w:pPr>
        <w:pStyle w:val="ListParagraph"/>
        <w:ind w:left="0" w:firstLine="720"/>
        <w:jc w:val="both"/>
      </w:pPr>
    </w:p>
    <w:p w14:paraId="46D8E190" w14:textId="77777777" w:rsidR="007B5751" w:rsidRPr="00C63683" w:rsidRDefault="007B5751" w:rsidP="00E42742">
      <w:pPr>
        <w:widowControl/>
        <w:numPr>
          <w:ilvl w:val="0"/>
          <w:numId w:val="4"/>
        </w:numPr>
        <w:autoSpaceDE/>
        <w:autoSpaceDN/>
        <w:adjustRightInd/>
        <w:ind w:left="0" w:firstLine="720"/>
        <w:jc w:val="both"/>
      </w:pPr>
      <w:r w:rsidRPr="00C63683">
        <w:t>By entering this Consent Order</w:t>
      </w:r>
      <w:r>
        <w:t>,</w:t>
      </w:r>
      <w:r w:rsidRPr="00C63683">
        <w:t xml:space="preserve"> the Respondent</w:t>
      </w:r>
      <w:r>
        <w:t xml:space="preserve"> </w:t>
      </w:r>
      <w:r w:rsidRPr="00C63683">
        <w:t xml:space="preserve">waives the right to have </w:t>
      </w:r>
      <w:r>
        <w:t xml:space="preserve">the administrative </w:t>
      </w:r>
      <w:r w:rsidRPr="00C63683">
        <w:t xml:space="preserve">charges reduced to writing, to an administrative hearing before the Board or its designee on any charges, to the making of Findings of Fact and Conclusions of Law, to all other proceedings before the Board or its designee on this matter, and to </w:t>
      </w:r>
      <w:r>
        <w:t>all</w:t>
      </w:r>
      <w:r w:rsidRPr="00C63683">
        <w:t xml:space="preserve"> rights to appeal from this Consent Order to any court of competent jurisdiction.</w:t>
      </w:r>
    </w:p>
    <w:p w14:paraId="09522D8E" w14:textId="77777777" w:rsidR="007B5751" w:rsidRDefault="007B5751" w:rsidP="007B5751">
      <w:pPr>
        <w:ind w:firstLine="720"/>
        <w:jc w:val="both"/>
      </w:pPr>
    </w:p>
    <w:p w14:paraId="30AA44B4" w14:textId="77777777" w:rsidR="007B5751" w:rsidRDefault="007B5751" w:rsidP="00E42742">
      <w:pPr>
        <w:widowControl/>
        <w:numPr>
          <w:ilvl w:val="0"/>
          <w:numId w:val="4"/>
        </w:numPr>
        <w:autoSpaceDE/>
        <w:autoSpaceDN/>
        <w:adjustRightInd/>
        <w:ind w:left="0" w:firstLine="720"/>
        <w:jc w:val="both"/>
      </w:pPr>
      <w:r>
        <w:t xml:space="preserve">The Parties agree that a </w:t>
      </w:r>
      <w:r w:rsidRPr="00A802CF">
        <w:t xml:space="preserve">waiver </w:t>
      </w:r>
      <w:r>
        <w:t xml:space="preserve">of any of the rights or duties provided herein must be explicit and in writing, and that any waiver </w:t>
      </w:r>
      <w:r w:rsidRPr="00A802CF">
        <w:t xml:space="preserve">constitutes a one-time waiver on a case-by-case basis and not a waiver of this entire </w:t>
      </w:r>
      <w:r>
        <w:t>Consent Order or the subject provision(s)</w:t>
      </w:r>
      <w:r w:rsidRPr="00A802CF">
        <w:t>.</w:t>
      </w:r>
    </w:p>
    <w:p w14:paraId="0F1A7600" w14:textId="77777777" w:rsidR="007B5751" w:rsidRDefault="007B5751" w:rsidP="007B5751">
      <w:pPr>
        <w:ind w:firstLine="720"/>
        <w:jc w:val="both"/>
      </w:pPr>
    </w:p>
    <w:p w14:paraId="052D91DB" w14:textId="77777777" w:rsidR="007B5751" w:rsidRDefault="007B5751" w:rsidP="00E42742">
      <w:pPr>
        <w:widowControl/>
        <w:numPr>
          <w:ilvl w:val="0"/>
          <w:numId w:val="4"/>
        </w:numPr>
        <w:autoSpaceDE/>
        <w:autoSpaceDN/>
        <w:adjustRightInd/>
        <w:ind w:left="0" w:firstLine="720"/>
        <w:jc w:val="both"/>
      </w:pPr>
      <w:r>
        <w:t>The Parties agree no</w:t>
      </w:r>
      <w:r w:rsidRPr="002D4792">
        <w:t xml:space="preserve"> provision of this</w:t>
      </w:r>
      <w:r>
        <w:t xml:space="preserve"> Consent Order</w:t>
      </w:r>
      <w:r w:rsidRPr="002D4792">
        <w:t xml:space="preserve"> shall be interpreted for or against any </w:t>
      </w:r>
      <w:r>
        <w:t>P</w:t>
      </w:r>
      <w:r w:rsidRPr="002D4792">
        <w:t xml:space="preserve">arty by reason that said </w:t>
      </w:r>
      <w:r>
        <w:t>P</w:t>
      </w:r>
      <w:r w:rsidRPr="002D4792">
        <w:t>arty</w:t>
      </w:r>
      <w:r>
        <w:t>,</w:t>
      </w:r>
      <w:r w:rsidRPr="002D4792">
        <w:t xml:space="preserve"> or </w:t>
      </w:r>
      <w:r>
        <w:t>their</w:t>
      </w:r>
      <w:r w:rsidRPr="002D4792">
        <w:t xml:space="preserve"> legal representative</w:t>
      </w:r>
      <w:r>
        <w:t>,</w:t>
      </w:r>
      <w:r w:rsidRPr="002D4792">
        <w:t xml:space="preserve"> drafted all or any part hereof.</w:t>
      </w:r>
    </w:p>
    <w:p w14:paraId="40412659" w14:textId="77777777" w:rsidR="007B5751" w:rsidRDefault="007B5751" w:rsidP="007B5751">
      <w:pPr>
        <w:ind w:firstLine="720"/>
        <w:jc w:val="both"/>
      </w:pPr>
    </w:p>
    <w:p w14:paraId="1E68E91E" w14:textId="77777777" w:rsidR="007B5751" w:rsidRDefault="007B5751" w:rsidP="00E42742">
      <w:pPr>
        <w:widowControl/>
        <w:numPr>
          <w:ilvl w:val="0"/>
          <w:numId w:val="4"/>
        </w:numPr>
        <w:autoSpaceDE/>
        <w:autoSpaceDN/>
        <w:adjustRightInd/>
        <w:ind w:left="0" w:firstLine="720"/>
        <w:jc w:val="both"/>
      </w:pPr>
      <w:r w:rsidRPr="00331ED4">
        <w:t xml:space="preserve">The Parties </w:t>
      </w:r>
      <w:r>
        <w:t xml:space="preserve">agree </w:t>
      </w:r>
      <w:r w:rsidRPr="00331ED4">
        <w:t xml:space="preserve">that this </w:t>
      </w:r>
      <w:r>
        <w:t xml:space="preserve">Consent Order </w:t>
      </w:r>
      <w:r w:rsidRPr="00331ED4">
        <w:t xml:space="preserve">represents the final expression of </w:t>
      </w:r>
      <w:r>
        <w:t>their</w:t>
      </w:r>
      <w:r w:rsidRPr="00331ED4">
        <w:t xml:space="preserve"> intent and agreement relating to the subject matter of this</w:t>
      </w:r>
      <w:r>
        <w:t xml:space="preserve"> Consent Order</w:t>
      </w:r>
      <w:r w:rsidRPr="00331ED4">
        <w:t xml:space="preserve">. The Parties further </w:t>
      </w:r>
      <w:r>
        <w:t>agree</w:t>
      </w:r>
      <w:r w:rsidRPr="00331ED4">
        <w:t xml:space="preserve"> that this </w:t>
      </w:r>
      <w:r>
        <w:t>Consent Order</w:t>
      </w:r>
      <w:r w:rsidRPr="00331ED4">
        <w:t xml:space="preserve"> contains all the terms the Parties agreed to </w:t>
      </w:r>
      <w:r>
        <w:t>on</w:t>
      </w:r>
      <w:r w:rsidRPr="00331ED4">
        <w:t xml:space="preserve"> the subject matter of this </w:t>
      </w:r>
      <w:r>
        <w:t>Consent Order and</w:t>
      </w:r>
      <w:r w:rsidRPr="00331ED4">
        <w:t xml:space="preserve"> intend for this</w:t>
      </w:r>
      <w:r>
        <w:t xml:space="preserve"> Consent Order</w:t>
      </w:r>
      <w:r w:rsidRPr="00331ED4">
        <w:t xml:space="preserve"> to replace all the Parties’ previous discussions, understandings, and agreements relating to the subject matter.</w:t>
      </w:r>
    </w:p>
    <w:p w14:paraId="39C3F3FF" w14:textId="77777777" w:rsidR="007B5751" w:rsidRDefault="007B5751" w:rsidP="007B5751">
      <w:pPr>
        <w:ind w:firstLine="720"/>
        <w:jc w:val="both"/>
      </w:pPr>
    </w:p>
    <w:p w14:paraId="2D745E25" w14:textId="77777777" w:rsidR="007B5751" w:rsidRDefault="007B5751" w:rsidP="00E42742">
      <w:pPr>
        <w:widowControl/>
        <w:numPr>
          <w:ilvl w:val="0"/>
          <w:numId w:val="4"/>
        </w:numPr>
        <w:autoSpaceDE/>
        <w:autoSpaceDN/>
        <w:adjustRightInd/>
        <w:ind w:left="0" w:firstLine="720"/>
        <w:jc w:val="both"/>
      </w:pPr>
      <w:r>
        <w:t>The Respondent hereby agrees and acknowledges that the Respondent enters this Consent Order knowingly, voluntarily, and intelligently having read this Consent Order in full and after either having consulted with or after having had the opportunity to consult with private counsel.</w:t>
      </w:r>
    </w:p>
    <w:p w14:paraId="644C897B" w14:textId="77777777" w:rsidR="007B5751" w:rsidRPr="00C63683" w:rsidRDefault="007B5751" w:rsidP="007B5751">
      <w:pPr>
        <w:ind w:firstLine="720"/>
        <w:jc w:val="both"/>
      </w:pPr>
    </w:p>
    <w:p w14:paraId="67431DEE" w14:textId="25169933" w:rsidR="007B5751" w:rsidRPr="002B36A0" w:rsidRDefault="007B5751" w:rsidP="00E42742">
      <w:pPr>
        <w:widowControl/>
        <w:numPr>
          <w:ilvl w:val="0"/>
          <w:numId w:val="4"/>
        </w:numPr>
        <w:autoSpaceDE/>
        <w:autoSpaceDN/>
        <w:adjustRightInd/>
        <w:ind w:left="0" w:firstLine="720"/>
        <w:jc w:val="both"/>
      </w:pPr>
      <w:r w:rsidRPr="00C63683">
        <w:lastRenderedPageBreak/>
        <w:t xml:space="preserve">The Parties </w:t>
      </w:r>
      <w:r>
        <w:t xml:space="preserve">agree and </w:t>
      </w:r>
      <w:r w:rsidRPr="00C63683">
        <w:t xml:space="preserve">acknowledge that this Consent Order </w:t>
      </w:r>
      <w:r>
        <w:t xml:space="preserve">shall </w:t>
      </w:r>
      <w:r w:rsidRPr="00C63683">
        <w:t xml:space="preserve">serve as the final resolution of Complaint No. </w:t>
      </w:r>
      <w:r w:rsidR="00E42742">
        <w:t>MITP-</w:t>
      </w:r>
      <w:r w:rsidR="00686191">
        <w:t>2025-31,</w:t>
      </w:r>
      <w:r w:rsidRPr="00C63683">
        <w:t xml:space="preserve"> serve as the Final Order in this matter, be a part of the Respondent’s record the Board</w:t>
      </w:r>
      <w:r>
        <w:t xml:space="preserve"> maintains</w:t>
      </w:r>
      <w:r w:rsidRPr="00C63683">
        <w:t xml:space="preserve">, and that the Board’s records and publications </w:t>
      </w:r>
      <w:r>
        <w:t xml:space="preserve">shall </w:t>
      </w:r>
      <w:r w:rsidRPr="00C63683">
        <w:t>reflect the</w:t>
      </w:r>
      <w:r>
        <w:t xml:space="preserve"> Consent Order’s</w:t>
      </w:r>
      <w:r w:rsidRPr="00C63683">
        <w:t xml:space="preserve"> terms.</w:t>
      </w:r>
    </w:p>
    <w:p w14:paraId="14E02308" w14:textId="77777777" w:rsidR="007B5751" w:rsidRPr="00C63683" w:rsidRDefault="007B5751" w:rsidP="007B5751">
      <w:pPr>
        <w:jc w:val="both"/>
        <w:rPr>
          <w:b/>
        </w:rPr>
      </w:pPr>
    </w:p>
    <w:p w14:paraId="75ACAF23" w14:textId="10DC865E" w:rsidR="007B5751" w:rsidRPr="00C63683" w:rsidRDefault="007B5751" w:rsidP="007B5751">
      <w:pPr>
        <w:jc w:val="both"/>
        <w:rPr>
          <w:b/>
        </w:rPr>
      </w:pPr>
      <w:r w:rsidRPr="00C63683">
        <w:rPr>
          <w:b/>
        </w:rPr>
        <w:t xml:space="preserve">BASED ON THESE STIPULATIONS AND AGREEMENTS, IT IS THIS </w:t>
      </w:r>
      <w:r w:rsidR="00686191">
        <w:rPr>
          <w:b/>
        </w:rPr>
        <w:t>6</w:t>
      </w:r>
      <w:r w:rsidR="00686191" w:rsidRPr="00686191">
        <w:rPr>
          <w:b/>
          <w:vertAlign w:val="superscript"/>
        </w:rPr>
        <w:t>th</w:t>
      </w:r>
      <w:r w:rsidR="00686191">
        <w:rPr>
          <w:b/>
        </w:rPr>
        <w:t xml:space="preserve"> DAY OF NOVEMBER</w:t>
      </w:r>
      <w:r w:rsidRPr="00C63683">
        <w:rPr>
          <w:b/>
        </w:rPr>
        <w:t xml:space="preserve"> 20</w:t>
      </w:r>
      <w:r>
        <w:rPr>
          <w:b/>
        </w:rPr>
        <w:t>2</w:t>
      </w:r>
      <w:r w:rsidR="00686191">
        <w:rPr>
          <w:b/>
        </w:rPr>
        <w:t>5</w:t>
      </w:r>
      <w:r w:rsidRPr="00C63683">
        <w:rPr>
          <w:b/>
        </w:rPr>
        <w:t xml:space="preserve">, BY THE STATE BOARD </w:t>
      </w:r>
      <w:r>
        <w:rPr>
          <w:b/>
        </w:rPr>
        <w:t>OF INDIVIDUAL TAX PREPARERS</w:t>
      </w:r>
      <w:r w:rsidRPr="00C63683">
        <w:rPr>
          <w:b/>
        </w:rPr>
        <w:t xml:space="preserve"> HEREBY:</w:t>
      </w:r>
    </w:p>
    <w:p w14:paraId="7CC7CB9F" w14:textId="77777777" w:rsidR="007B5751" w:rsidRPr="00C63683" w:rsidRDefault="007B5751" w:rsidP="007B5751">
      <w:pPr>
        <w:jc w:val="both"/>
        <w:rPr>
          <w:b/>
        </w:rPr>
      </w:pPr>
    </w:p>
    <w:p w14:paraId="17DB80FC" w14:textId="66047C5C" w:rsidR="007B5751" w:rsidRPr="00C63683" w:rsidRDefault="007B5751" w:rsidP="007B5751">
      <w:pPr>
        <w:ind w:firstLine="720"/>
        <w:jc w:val="both"/>
      </w:pPr>
      <w:r w:rsidRPr="00C63683">
        <w:rPr>
          <w:b/>
        </w:rPr>
        <w:t>ORDERED</w:t>
      </w:r>
      <w:r w:rsidRPr="00C63683">
        <w:t xml:space="preserve"> that the Respondent violated </w:t>
      </w:r>
      <w:r w:rsidR="00686191">
        <w:t xml:space="preserve">Bus. Occ. &amp; Prof. §21-309, 21-311(a)(1)(5)(6), COMAR 09.38.01.05 and COMAR 09.38.02.02; </w:t>
      </w:r>
      <w:r w:rsidRPr="00C63683">
        <w:t>and it is further</w:t>
      </w:r>
    </w:p>
    <w:p w14:paraId="5AEFFE84" w14:textId="77777777" w:rsidR="007B5751" w:rsidRPr="00C63683" w:rsidRDefault="007B5751" w:rsidP="007B5751">
      <w:pPr>
        <w:ind w:left="540"/>
        <w:jc w:val="both"/>
      </w:pPr>
    </w:p>
    <w:p w14:paraId="4403E5EB" w14:textId="5C156F10" w:rsidR="007B5751" w:rsidRDefault="007B5751" w:rsidP="007B5751">
      <w:pPr>
        <w:ind w:firstLine="720"/>
        <w:jc w:val="both"/>
      </w:pPr>
      <w:r w:rsidRPr="00C63683">
        <w:rPr>
          <w:b/>
        </w:rPr>
        <w:t xml:space="preserve">ORDERED </w:t>
      </w:r>
      <w:r w:rsidRPr="00C63683">
        <w:t>that by certified check, cashier’s check, or money order</w:t>
      </w:r>
      <w:r>
        <w:t xml:space="preserve"> </w:t>
      </w:r>
      <w:r w:rsidRPr="00C63683">
        <w:t xml:space="preserve">made payable to the “Maryland Board </w:t>
      </w:r>
      <w:r w:rsidR="00E42742">
        <w:t>of Individual Tax Preparers</w:t>
      </w:r>
      <w:r w:rsidRPr="00C63683">
        <w:t>”</w:t>
      </w:r>
      <w:r>
        <w:t xml:space="preserve"> within thirty (30) days of signing this Consent Order the Respondent shall </w:t>
      </w:r>
      <w:r w:rsidRPr="00C63683">
        <w:t>pay</w:t>
      </w:r>
      <w:r>
        <w:t xml:space="preserve"> to the Board</w:t>
      </w:r>
      <w:r w:rsidRPr="00C63683">
        <w:t xml:space="preserve"> a civil monetary penalty</w:t>
      </w:r>
      <w:r>
        <w:t xml:space="preserve"> </w:t>
      </w:r>
      <w:r w:rsidRPr="00C63683">
        <w:t xml:space="preserve">of </w:t>
      </w:r>
      <w:r w:rsidR="00686191">
        <w:rPr>
          <w:smallCaps/>
        </w:rPr>
        <w:t>FIVE HUNDRED</w:t>
      </w:r>
      <w:r w:rsidRPr="00C63683">
        <w:rPr>
          <w:smallCaps/>
        </w:rPr>
        <w:t xml:space="preserve"> Dollars</w:t>
      </w:r>
      <w:r w:rsidRPr="00C63683">
        <w:t xml:space="preserve"> ($</w:t>
      </w:r>
      <w:r w:rsidR="00686191">
        <w:t>500</w:t>
      </w:r>
      <w:r w:rsidRPr="00C63683">
        <w:t>); and it is further</w:t>
      </w:r>
    </w:p>
    <w:p w14:paraId="239D24AB" w14:textId="77777777" w:rsidR="00686191" w:rsidRDefault="00686191" w:rsidP="007B5751">
      <w:pPr>
        <w:ind w:firstLine="720"/>
        <w:jc w:val="both"/>
      </w:pPr>
    </w:p>
    <w:p w14:paraId="03A3ED37" w14:textId="764F9498" w:rsidR="00686191" w:rsidRPr="00686191" w:rsidRDefault="00686191" w:rsidP="007B5751">
      <w:pPr>
        <w:ind w:firstLine="720"/>
        <w:jc w:val="both"/>
      </w:pPr>
      <w:r>
        <w:rPr>
          <w:b/>
          <w:bCs/>
        </w:rPr>
        <w:t xml:space="preserve">ORDERED </w:t>
      </w:r>
      <w:r>
        <w:t xml:space="preserve">that Respondent will complete eight (8) CE hours within ninety (90) days of signing this Consent Order; and it is further </w:t>
      </w:r>
    </w:p>
    <w:p w14:paraId="44183807" w14:textId="77777777" w:rsidR="00E42742" w:rsidRDefault="00E42742" w:rsidP="007B5751">
      <w:pPr>
        <w:ind w:firstLine="720"/>
        <w:jc w:val="both"/>
        <w:rPr>
          <w:b/>
        </w:rPr>
      </w:pPr>
    </w:p>
    <w:p w14:paraId="7AF23033" w14:textId="53F21D1B" w:rsidR="007B5751" w:rsidRPr="00C63683" w:rsidRDefault="007B5751" w:rsidP="007B5751">
      <w:pPr>
        <w:ind w:firstLine="720"/>
        <w:jc w:val="both"/>
      </w:pPr>
      <w:r w:rsidRPr="00C63683">
        <w:rPr>
          <w:b/>
        </w:rPr>
        <w:t>ORDERED</w:t>
      </w:r>
      <w:r w:rsidRPr="00C63683">
        <w:t xml:space="preserve"> that if the Respondent fails to comply with the terms of this Consent Order, the </w:t>
      </w:r>
      <w:r>
        <w:t xml:space="preserve">Board will </w:t>
      </w:r>
      <w:r w:rsidRPr="00C63683">
        <w:t>immediately and automatically suspend</w:t>
      </w:r>
      <w:r>
        <w:t xml:space="preserve"> Respondent’s </w:t>
      </w:r>
      <w:r w:rsidR="00E42742">
        <w:t>registration</w:t>
      </w:r>
      <w:r>
        <w:t xml:space="preserve"> without </w:t>
      </w:r>
      <w:proofErr w:type="gramStart"/>
      <w:r w:rsidR="00686191">
        <w:t>a hearing</w:t>
      </w:r>
      <w:proofErr w:type="gramEnd"/>
      <w:r w:rsidRPr="00C63683">
        <w:t>, and that the suspension will continue until the Board determines that the Respondent has evidenced compliance with the Consent Order’s terms; and it is further</w:t>
      </w:r>
    </w:p>
    <w:p w14:paraId="3830176E" w14:textId="77777777" w:rsidR="007B5751" w:rsidRPr="00C63683" w:rsidRDefault="007B5751" w:rsidP="007B5751">
      <w:pPr>
        <w:pStyle w:val="ListParagraph"/>
        <w:ind w:left="0"/>
        <w:jc w:val="both"/>
      </w:pPr>
    </w:p>
    <w:p w14:paraId="27FF9707" w14:textId="77777777" w:rsidR="007B5751" w:rsidRPr="00C63683" w:rsidRDefault="007B5751" w:rsidP="007B5751">
      <w:pPr>
        <w:ind w:firstLine="720"/>
        <w:jc w:val="both"/>
      </w:pPr>
      <w:r w:rsidRPr="00C63683">
        <w:rPr>
          <w:b/>
        </w:rPr>
        <w:t>ORDERED</w:t>
      </w:r>
      <w:r w:rsidRPr="00C63683">
        <w:t xml:space="preserve"> that unless otherwise specified in this Consent Order, each provision herein shall remain in effect and enforceable as herein agreed unless the Board in writing stays, modifies, terminates, or suspends it; and it is further</w:t>
      </w:r>
    </w:p>
    <w:p w14:paraId="1351A6A3" w14:textId="77777777" w:rsidR="007B5751" w:rsidRPr="00C63683" w:rsidRDefault="007B5751" w:rsidP="007B5751">
      <w:pPr>
        <w:pStyle w:val="ListParagraph"/>
        <w:jc w:val="both"/>
      </w:pPr>
    </w:p>
    <w:p w14:paraId="3E726C71" w14:textId="77777777" w:rsidR="007B5751" w:rsidRPr="00C63683" w:rsidRDefault="007B5751" w:rsidP="007B5751">
      <w:pPr>
        <w:ind w:firstLine="720"/>
        <w:jc w:val="both"/>
      </w:pPr>
      <w:r w:rsidRPr="00C63683">
        <w:rPr>
          <w:b/>
        </w:rPr>
        <w:t>ORDERED</w:t>
      </w:r>
      <w:r w:rsidRPr="00C63683">
        <w:t xml:space="preserve"> that this </w:t>
      </w:r>
      <w:r>
        <w:t>Consent Order</w:t>
      </w:r>
      <w:r w:rsidRPr="00C63683">
        <w:t xml:space="preserve"> shall constitute </w:t>
      </w:r>
      <w:r>
        <w:t>the Board’s Final Order</w:t>
      </w:r>
      <w:r w:rsidRPr="00C63683">
        <w:t xml:space="preserve"> and the Board may consider this Consent Order and the facts set forth herein in connection with, and in deciding, any subsequent action or proceeding before the Board, and that this Consent Order may, if relevant, be admitted into evidence in any matter before the Board, its designee, and/or any court; and it is further</w:t>
      </w:r>
    </w:p>
    <w:p w14:paraId="46B711DA" w14:textId="77777777" w:rsidR="007B5751" w:rsidRPr="00C63683" w:rsidRDefault="007B5751" w:rsidP="007B5751">
      <w:pPr>
        <w:jc w:val="both"/>
      </w:pPr>
    </w:p>
    <w:p w14:paraId="7834BA20" w14:textId="77777777" w:rsidR="007B5751" w:rsidRDefault="007B5751" w:rsidP="007B5751">
      <w:pPr>
        <w:ind w:firstLine="720"/>
        <w:jc w:val="both"/>
      </w:pPr>
      <w:r w:rsidRPr="00C63683">
        <w:rPr>
          <w:b/>
        </w:rPr>
        <w:t>ORDERED</w:t>
      </w:r>
      <w:r w:rsidRPr="00C63683">
        <w:t xml:space="preserve"> that the Board’s records and publications shall reflect that the Respondent and the Board resolved this matter through this Consent Order.</w:t>
      </w:r>
      <w:r w:rsidRPr="00C63683">
        <w:tab/>
      </w:r>
      <w:r w:rsidRPr="00C63683">
        <w:tab/>
      </w:r>
      <w:r w:rsidRPr="00C63683">
        <w:tab/>
      </w:r>
      <w:r w:rsidRPr="00C63683">
        <w:tab/>
      </w:r>
    </w:p>
    <w:p w14:paraId="19D546FA" w14:textId="77777777" w:rsidR="007B5751" w:rsidRPr="00C63683" w:rsidRDefault="007B5751" w:rsidP="007B5751">
      <w:pPr>
        <w:ind w:left="540"/>
        <w:jc w:val="both"/>
      </w:pPr>
    </w:p>
    <w:p w14:paraId="2610A749" w14:textId="417EC148" w:rsidR="007B5751" w:rsidRPr="0024410E" w:rsidRDefault="007B5751" w:rsidP="007B5751">
      <w:pPr>
        <w:ind w:left="5040"/>
        <w:jc w:val="both"/>
        <w:rPr>
          <w:b/>
        </w:rPr>
      </w:pPr>
      <w:r>
        <w:rPr>
          <w:b/>
        </w:rPr>
        <w:t xml:space="preserve">MARYLAND BOARD </w:t>
      </w:r>
      <w:r w:rsidR="00E42742">
        <w:rPr>
          <w:b/>
        </w:rPr>
        <w:t>OF</w:t>
      </w:r>
      <w:r>
        <w:rPr>
          <w:b/>
        </w:rPr>
        <w:t xml:space="preserve"> INDIVIDUAL TAX PREPARERS</w:t>
      </w:r>
    </w:p>
    <w:p w14:paraId="67EE536A" w14:textId="77777777" w:rsidR="007B5751" w:rsidRDefault="007B5751" w:rsidP="007B5751">
      <w:pPr>
        <w:jc w:val="both"/>
      </w:pPr>
      <w:r>
        <w:tab/>
      </w:r>
      <w:r>
        <w:tab/>
      </w:r>
      <w:r>
        <w:tab/>
      </w:r>
      <w:r>
        <w:tab/>
      </w:r>
      <w:r>
        <w:tab/>
      </w:r>
      <w:r>
        <w:tab/>
      </w:r>
      <w:r>
        <w:tab/>
        <w:t>By:</w:t>
      </w:r>
    </w:p>
    <w:p w14:paraId="3D02F6AE" w14:textId="03473C36" w:rsidR="007B5751" w:rsidRPr="001C2FF2" w:rsidRDefault="001C2FF2" w:rsidP="007B5751">
      <w:pPr>
        <w:jc w:val="both"/>
        <w:rPr>
          <w:b/>
          <w:bCs/>
        </w:rPr>
      </w:pPr>
      <w:r>
        <w:tab/>
      </w:r>
      <w:r>
        <w:tab/>
      </w:r>
      <w:r>
        <w:tab/>
      </w:r>
      <w:r>
        <w:tab/>
      </w:r>
      <w:r>
        <w:tab/>
      </w:r>
      <w:r>
        <w:tab/>
      </w:r>
      <w:r>
        <w:tab/>
      </w:r>
      <w:r w:rsidRPr="001C2FF2">
        <w:rPr>
          <w:b/>
          <w:bCs/>
        </w:rPr>
        <w:t>Signature on file</w:t>
      </w:r>
    </w:p>
    <w:p w14:paraId="35BE3DA4" w14:textId="3965DB6E" w:rsidR="007B5751" w:rsidRPr="00C63683" w:rsidRDefault="007B5751" w:rsidP="007B5751">
      <w:pPr>
        <w:jc w:val="both"/>
      </w:pPr>
      <w:r w:rsidRPr="00C63683">
        <w:tab/>
      </w:r>
      <w:r w:rsidRPr="00C63683">
        <w:tab/>
      </w:r>
      <w:r w:rsidRPr="00C63683">
        <w:tab/>
      </w:r>
      <w:r w:rsidRPr="00C63683">
        <w:tab/>
      </w:r>
      <w:r w:rsidRPr="00C63683">
        <w:tab/>
      </w:r>
      <w:r>
        <w:tab/>
      </w:r>
      <w:r>
        <w:tab/>
      </w:r>
      <w:r w:rsidRPr="00C63683">
        <w:t>___________________________________</w:t>
      </w:r>
    </w:p>
    <w:p w14:paraId="5E4F7A8B" w14:textId="77777777" w:rsidR="007B5751" w:rsidRPr="00C63683" w:rsidRDefault="007B5751" w:rsidP="007B5751">
      <w:pPr>
        <w:jc w:val="both"/>
      </w:pPr>
      <w:r>
        <w:tab/>
      </w:r>
      <w:r>
        <w:tab/>
      </w:r>
      <w:r>
        <w:tab/>
      </w:r>
      <w:r>
        <w:tab/>
      </w:r>
      <w:r w:rsidRPr="00C63683">
        <w:rPr>
          <w:b/>
        </w:rPr>
        <w:tab/>
      </w:r>
      <w:r w:rsidRPr="00C63683">
        <w:rPr>
          <w:b/>
        </w:rPr>
        <w:tab/>
      </w:r>
      <w:r w:rsidRPr="00C63683">
        <w:rPr>
          <w:b/>
        </w:rPr>
        <w:tab/>
      </w:r>
      <w:r w:rsidRPr="00C63683">
        <w:t>Chair</w:t>
      </w:r>
    </w:p>
    <w:p w14:paraId="2A1D08A7" w14:textId="77777777" w:rsidR="007B5751" w:rsidRDefault="007B5751" w:rsidP="007B5751">
      <w:pPr>
        <w:jc w:val="both"/>
        <w:rPr>
          <w:b/>
        </w:rPr>
      </w:pPr>
      <w:r>
        <w:rPr>
          <w:b/>
        </w:rPr>
        <w:t>AGREED:</w:t>
      </w:r>
    </w:p>
    <w:p w14:paraId="36E1C68F" w14:textId="77777777" w:rsidR="007B5751" w:rsidRPr="0060245E" w:rsidRDefault="007B5751" w:rsidP="007B5751">
      <w:pPr>
        <w:jc w:val="both"/>
        <w:rPr>
          <w:b/>
        </w:rPr>
      </w:pPr>
    </w:p>
    <w:p w14:paraId="75BB083C" w14:textId="223ECF5F" w:rsidR="001C2FF2" w:rsidRPr="001C2FF2" w:rsidRDefault="001C2FF2" w:rsidP="007B5751">
      <w:pPr>
        <w:jc w:val="both"/>
        <w:rPr>
          <w:b/>
          <w:bCs/>
        </w:rPr>
      </w:pPr>
      <w:r>
        <w:rPr>
          <w:b/>
          <w:bCs/>
        </w:rPr>
        <w:lastRenderedPageBreak/>
        <w:t>11/6/2025</w:t>
      </w:r>
      <w:r>
        <w:rPr>
          <w:b/>
          <w:bCs/>
        </w:rPr>
        <w:tab/>
      </w:r>
      <w:r>
        <w:rPr>
          <w:b/>
          <w:bCs/>
        </w:rPr>
        <w:tab/>
      </w:r>
      <w:r>
        <w:rPr>
          <w:b/>
          <w:bCs/>
        </w:rPr>
        <w:tab/>
      </w:r>
      <w:r>
        <w:rPr>
          <w:b/>
          <w:bCs/>
        </w:rPr>
        <w:tab/>
      </w:r>
      <w:r>
        <w:rPr>
          <w:b/>
          <w:bCs/>
        </w:rPr>
        <w:tab/>
      </w:r>
      <w:r>
        <w:rPr>
          <w:b/>
          <w:bCs/>
        </w:rPr>
        <w:tab/>
        <w:t>Signature on file</w:t>
      </w:r>
    </w:p>
    <w:p w14:paraId="0E8B3844" w14:textId="5EDD9571" w:rsidR="007B5751" w:rsidRPr="00C63683" w:rsidRDefault="007B5751" w:rsidP="007B5751">
      <w:pPr>
        <w:jc w:val="both"/>
        <w:rPr>
          <w:b/>
        </w:rPr>
      </w:pPr>
      <w:r>
        <w:rPr>
          <w:u w:val="single"/>
        </w:rPr>
        <w:tab/>
      </w:r>
      <w:r>
        <w:rPr>
          <w:u w:val="single"/>
        </w:rPr>
        <w:tab/>
      </w:r>
      <w:r>
        <w:tab/>
      </w:r>
      <w:r w:rsidR="000254B2">
        <w:tab/>
      </w:r>
      <w:r w:rsidR="000254B2">
        <w:tab/>
      </w:r>
      <w:r w:rsidR="000254B2">
        <w:tab/>
      </w:r>
      <w:r w:rsidR="000254B2">
        <w:tab/>
      </w:r>
      <w:r>
        <w:rPr>
          <w:u w:val="single"/>
        </w:rPr>
        <w:tab/>
      </w:r>
      <w:r>
        <w:rPr>
          <w:u w:val="single"/>
        </w:rPr>
        <w:tab/>
      </w:r>
      <w:r>
        <w:rPr>
          <w:u w:val="single"/>
        </w:rPr>
        <w:tab/>
      </w:r>
      <w:r>
        <w:rPr>
          <w:u w:val="single"/>
        </w:rPr>
        <w:tab/>
      </w:r>
      <w:r>
        <w:rPr>
          <w:u w:val="single"/>
        </w:rPr>
        <w:tab/>
      </w:r>
      <w:r>
        <w:rPr>
          <w:u w:val="single"/>
        </w:rPr>
        <w:tab/>
      </w:r>
    </w:p>
    <w:p w14:paraId="0DFA33CA" w14:textId="37150BC4" w:rsidR="007B5751" w:rsidRPr="0060245E" w:rsidRDefault="007B5751" w:rsidP="007B5751">
      <w:pPr>
        <w:jc w:val="both"/>
      </w:pPr>
      <w:r w:rsidRPr="0060245E">
        <w:t>Date</w:t>
      </w:r>
      <w:r>
        <w:tab/>
      </w:r>
      <w:r>
        <w:tab/>
      </w:r>
      <w:r>
        <w:tab/>
      </w:r>
      <w:r w:rsidR="000254B2">
        <w:tab/>
      </w:r>
      <w:r w:rsidR="000254B2">
        <w:tab/>
      </w:r>
      <w:r w:rsidR="000254B2">
        <w:tab/>
      </w:r>
      <w:r w:rsidR="000254B2">
        <w:tab/>
      </w:r>
      <w:r w:rsidR="00686191">
        <w:t xml:space="preserve">Charlie </w:t>
      </w:r>
      <w:r w:rsidR="00C97E9D">
        <w:t xml:space="preserve">A. </w:t>
      </w:r>
      <w:r w:rsidR="00686191">
        <w:t>Molina</w:t>
      </w:r>
      <w:r>
        <w:t>, Respondent</w:t>
      </w:r>
    </w:p>
    <w:p w14:paraId="52A190DE" w14:textId="77777777" w:rsidR="007B5751" w:rsidRPr="00C63683" w:rsidRDefault="007B5751" w:rsidP="007B5751">
      <w:pPr>
        <w:jc w:val="both"/>
        <w:rPr>
          <w:b/>
        </w:rPr>
      </w:pPr>
    </w:p>
    <w:p w14:paraId="1E3D3DC6" w14:textId="77777777" w:rsidR="007B5751" w:rsidRDefault="0048757C" w:rsidP="008B6CF9">
      <w:pPr>
        <w:pStyle w:val="Outline0011"/>
        <w:widowControl/>
        <w:numPr>
          <w:ilvl w:val="0"/>
          <w:numId w:val="0"/>
        </w:numPr>
        <w:spacing w:line="480" w:lineRule="auto"/>
        <w:jc w:val="both"/>
        <w:rPr>
          <w:rFonts w:eastAsia="MingLiU-ExtB"/>
        </w:rPr>
      </w:pPr>
      <w:r>
        <w:rPr>
          <w:rFonts w:eastAsia="MingLiU-ExtB"/>
        </w:rPr>
        <w:tab/>
      </w:r>
    </w:p>
    <w:p w14:paraId="3C11BFEF" w14:textId="77777777" w:rsidR="007B5751" w:rsidRDefault="007B5751" w:rsidP="008B6CF9">
      <w:pPr>
        <w:pStyle w:val="Outline0011"/>
        <w:widowControl/>
        <w:numPr>
          <w:ilvl w:val="0"/>
          <w:numId w:val="0"/>
        </w:numPr>
        <w:spacing w:line="480" w:lineRule="auto"/>
        <w:jc w:val="both"/>
        <w:rPr>
          <w:rFonts w:eastAsia="MingLiU-ExtB"/>
        </w:rPr>
      </w:pPr>
    </w:p>
    <w:p w14:paraId="7A91BDF6" w14:textId="77777777" w:rsidR="007B5751" w:rsidRDefault="007B5751" w:rsidP="008B6CF9">
      <w:pPr>
        <w:pStyle w:val="Outline0011"/>
        <w:widowControl/>
        <w:numPr>
          <w:ilvl w:val="0"/>
          <w:numId w:val="0"/>
        </w:numPr>
        <w:spacing w:line="480" w:lineRule="auto"/>
        <w:jc w:val="both"/>
        <w:rPr>
          <w:rFonts w:eastAsia="MingLiU-ExtB"/>
        </w:rPr>
      </w:pPr>
    </w:p>
    <w:p w14:paraId="17C34468" w14:textId="7577B8CC" w:rsidR="000935BD" w:rsidRPr="00C34778" w:rsidRDefault="000935BD" w:rsidP="00C347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MingLiU-ExtB"/>
        </w:rPr>
      </w:pPr>
    </w:p>
    <w:sectPr w:rsidR="000935BD" w:rsidRPr="00C34778" w:rsidSect="007C34F5">
      <w:headerReference w:type="default" r:id="rId10"/>
      <w:footerReference w:type="default" r:id="rId11"/>
      <w:type w:val="continuous"/>
      <w:pgSz w:w="12240" w:h="15840"/>
      <w:pgMar w:top="1440" w:right="1440" w:bottom="108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0227" w14:textId="77777777" w:rsidR="00CD03A8" w:rsidRDefault="00CD03A8" w:rsidP="000935BD">
      <w:r>
        <w:separator/>
      </w:r>
    </w:p>
  </w:endnote>
  <w:endnote w:type="continuationSeparator" w:id="0">
    <w:p w14:paraId="2BE747AA" w14:textId="77777777" w:rsidR="00CD03A8" w:rsidRDefault="00CD03A8" w:rsidP="0009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380158"/>
      <w:docPartObj>
        <w:docPartGallery w:val="Page Numbers (Bottom of Page)"/>
        <w:docPartUnique/>
      </w:docPartObj>
    </w:sdtPr>
    <w:sdtContent>
      <w:sdt>
        <w:sdtPr>
          <w:id w:val="-92249239"/>
          <w:docPartObj>
            <w:docPartGallery w:val="Page Numbers (Top of Page)"/>
            <w:docPartUnique/>
          </w:docPartObj>
        </w:sdtPr>
        <w:sdtContent>
          <w:p w14:paraId="7CB65ABA" w14:textId="77777777" w:rsidR="0049154A" w:rsidRPr="00583FBC" w:rsidRDefault="0049154A" w:rsidP="00E4756E">
            <w:pPr>
              <w:pStyle w:val="Footer"/>
              <w:jc w:val="center"/>
            </w:pPr>
            <w:r w:rsidRPr="00583FBC">
              <w:t xml:space="preserve"> </w:t>
            </w:r>
            <w:r w:rsidRPr="00583FBC">
              <w:fldChar w:fldCharType="begin"/>
            </w:r>
            <w:r w:rsidRPr="00583FBC">
              <w:instrText xml:space="preserve"> PAGE </w:instrText>
            </w:r>
            <w:r w:rsidRPr="00583FBC">
              <w:fldChar w:fldCharType="separate"/>
            </w:r>
            <w:r>
              <w:rPr>
                <w:noProof/>
              </w:rPr>
              <w:t>5</w:t>
            </w:r>
            <w:r w:rsidRPr="00583FBC">
              <w:fldChar w:fldCharType="end"/>
            </w:r>
            <w:r w:rsidRPr="00583FBC">
              <w:t xml:space="preserve"> of </w:t>
            </w:r>
            <w:fldSimple w:instr=" NUMPAGES  ">
              <w:r>
                <w:rPr>
                  <w:noProof/>
                </w:rPr>
                <w:t>5</w:t>
              </w:r>
            </w:fldSimple>
          </w:p>
        </w:sdtContent>
      </w:sdt>
    </w:sdtContent>
  </w:sdt>
  <w:p w14:paraId="7AC39CC9" w14:textId="77777777" w:rsidR="0049154A" w:rsidRDefault="004915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548278"/>
      <w:docPartObj>
        <w:docPartGallery w:val="Page Numbers (Bottom of Page)"/>
        <w:docPartUnique/>
      </w:docPartObj>
    </w:sdtPr>
    <w:sdtContent>
      <w:sdt>
        <w:sdtPr>
          <w:id w:val="1728636285"/>
          <w:docPartObj>
            <w:docPartGallery w:val="Page Numbers (Top of Page)"/>
            <w:docPartUnique/>
          </w:docPartObj>
        </w:sdtPr>
        <w:sdtContent>
          <w:p w14:paraId="7433768D" w14:textId="67A56906" w:rsidR="00545AA9" w:rsidRPr="00583FBC" w:rsidRDefault="00545AA9" w:rsidP="00E4756E">
            <w:pPr>
              <w:pStyle w:val="Footer"/>
              <w:jc w:val="center"/>
            </w:pPr>
            <w:r w:rsidRPr="00583FBC">
              <w:t xml:space="preserve"> </w:t>
            </w:r>
            <w:r w:rsidRPr="00583FBC">
              <w:fldChar w:fldCharType="begin"/>
            </w:r>
            <w:r w:rsidRPr="00583FBC">
              <w:instrText xml:space="preserve"> PAGE </w:instrText>
            </w:r>
            <w:r w:rsidRPr="00583FBC">
              <w:fldChar w:fldCharType="separate"/>
            </w:r>
            <w:r w:rsidR="00572C61">
              <w:rPr>
                <w:noProof/>
              </w:rPr>
              <w:t>5</w:t>
            </w:r>
            <w:r w:rsidRPr="00583FBC">
              <w:fldChar w:fldCharType="end"/>
            </w:r>
            <w:r w:rsidRPr="00583FBC">
              <w:t xml:space="preserve"> of </w:t>
            </w:r>
            <w:fldSimple w:instr=" NUMPAGES  ">
              <w:r w:rsidR="00572C61">
                <w:rPr>
                  <w:noProof/>
                </w:rPr>
                <w:t>5</w:t>
              </w:r>
            </w:fldSimple>
          </w:p>
        </w:sdtContent>
      </w:sdt>
    </w:sdtContent>
  </w:sdt>
  <w:p w14:paraId="2FF79605" w14:textId="77777777" w:rsidR="000935BD" w:rsidRDefault="000935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1802" w14:textId="77777777" w:rsidR="00CD03A8" w:rsidRDefault="00CD03A8" w:rsidP="000935BD">
      <w:r>
        <w:separator/>
      </w:r>
    </w:p>
  </w:footnote>
  <w:footnote w:type="continuationSeparator" w:id="0">
    <w:p w14:paraId="0FDB9409" w14:textId="77777777" w:rsidR="00CD03A8" w:rsidRDefault="00CD03A8" w:rsidP="00093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11FD" w14:textId="77777777" w:rsidR="0049154A" w:rsidRDefault="00491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F36A" w14:textId="4B15694B" w:rsidR="00596BBA" w:rsidRDefault="00596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C4E085C"/>
    <w:name w:val="1"/>
    <w:lvl w:ilvl="0">
      <w:start w:val="1"/>
      <w:numFmt w:val="decimal"/>
      <w:pStyle w:val="Outline001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10F111A5"/>
    <w:multiLevelType w:val="hybridMultilevel"/>
    <w:tmpl w:val="A3101BE8"/>
    <w:lvl w:ilvl="0" w:tplc="6C160FC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7C375E"/>
    <w:multiLevelType w:val="hybridMultilevel"/>
    <w:tmpl w:val="A22E672A"/>
    <w:lvl w:ilvl="0" w:tplc="10FAB306">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02271A"/>
    <w:multiLevelType w:val="hybridMultilevel"/>
    <w:tmpl w:val="3016463E"/>
    <w:lvl w:ilvl="0" w:tplc="E490FD0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40C23"/>
    <w:multiLevelType w:val="hybridMultilevel"/>
    <w:tmpl w:val="9B5CA3B4"/>
    <w:lvl w:ilvl="0" w:tplc="BFB4ECFA">
      <w:start w:val="1"/>
      <w:numFmt w:val="decimal"/>
      <w:lvlText w:val="%1."/>
      <w:lvlJc w:val="left"/>
      <w:pPr>
        <w:ind w:left="720" w:hanging="720"/>
      </w:pPr>
      <w:rPr>
        <w:rFonts w:ascii="Times New Roman" w:eastAsia="Times New Roman" w:hAnsi="Times New Roman" w:cs="Times New Roman" w:hint="default"/>
        <w:b w:val="0"/>
        <w:i w:val="0"/>
      </w:rPr>
    </w:lvl>
    <w:lvl w:ilvl="1" w:tplc="5AEED5E8">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2131713">
    <w:abstractNumId w:val="0"/>
    <w:lvlOverride w:ilvl="0">
      <w:startOverride w:val="1"/>
      <w:lvl w:ilvl="0">
        <w:start w:val="1"/>
        <w:numFmt w:val="decimal"/>
        <w:pStyle w:val="Outline0011"/>
        <w:lvlText w:val="%1."/>
        <w:lvlJc w:val="left"/>
        <w:rPr>
          <w:i w:val="0"/>
          <w:iCs w:val="0"/>
        </w:rPr>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258026813">
    <w:abstractNumId w:val="3"/>
  </w:num>
  <w:num w:numId="3" w16cid:durableId="508756646">
    <w:abstractNumId w:val="1"/>
  </w:num>
  <w:num w:numId="4" w16cid:durableId="822546149">
    <w:abstractNumId w:val="2"/>
  </w:num>
  <w:num w:numId="5" w16cid:durableId="924997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BD"/>
    <w:rsid w:val="00016E69"/>
    <w:rsid w:val="000254B2"/>
    <w:rsid w:val="000344F7"/>
    <w:rsid w:val="000662D6"/>
    <w:rsid w:val="00076B31"/>
    <w:rsid w:val="00077FBD"/>
    <w:rsid w:val="000837DA"/>
    <w:rsid w:val="000854E5"/>
    <w:rsid w:val="00086546"/>
    <w:rsid w:val="000935BD"/>
    <w:rsid w:val="000A0F9A"/>
    <w:rsid w:val="000A2893"/>
    <w:rsid w:val="000F4A80"/>
    <w:rsid w:val="0012602A"/>
    <w:rsid w:val="001327C5"/>
    <w:rsid w:val="00132DD7"/>
    <w:rsid w:val="001543AA"/>
    <w:rsid w:val="00173C15"/>
    <w:rsid w:val="001B1ED0"/>
    <w:rsid w:val="001C2FF2"/>
    <w:rsid w:val="001C39A6"/>
    <w:rsid w:val="001D0230"/>
    <w:rsid w:val="001E7DE7"/>
    <w:rsid w:val="001F0627"/>
    <w:rsid w:val="001F0C10"/>
    <w:rsid w:val="00231247"/>
    <w:rsid w:val="00264D8E"/>
    <w:rsid w:val="002A173C"/>
    <w:rsid w:val="002A56A6"/>
    <w:rsid w:val="002D0181"/>
    <w:rsid w:val="002E0FB4"/>
    <w:rsid w:val="002F2800"/>
    <w:rsid w:val="002F42DB"/>
    <w:rsid w:val="002F5F47"/>
    <w:rsid w:val="002F5F99"/>
    <w:rsid w:val="00322616"/>
    <w:rsid w:val="00394E63"/>
    <w:rsid w:val="00396C6E"/>
    <w:rsid w:val="003B0192"/>
    <w:rsid w:val="003E65F7"/>
    <w:rsid w:val="00412D7D"/>
    <w:rsid w:val="0048757C"/>
    <w:rsid w:val="0049154A"/>
    <w:rsid w:val="00495652"/>
    <w:rsid w:val="00496145"/>
    <w:rsid w:val="004D308C"/>
    <w:rsid w:val="00525DB4"/>
    <w:rsid w:val="00533842"/>
    <w:rsid w:val="00542D92"/>
    <w:rsid w:val="00545AA9"/>
    <w:rsid w:val="00572C61"/>
    <w:rsid w:val="00583FBC"/>
    <w:rsid w:val="00596BBA"/>
    <w:rsid w:val="005A1E11"/>
    <w:rsid w:val="005A56F0"/>
    <w:rsid w:val="005B7091"/>
    <w:rsid w:val="005C591F"/>
    <w:rsid w:val="00624606"/>
    <w:rsid w:val="00686191"/>
    <w:rsid w:val="006F0AD1"/>
    <w:rsid w:val="007108BF"/>
    <w:rsid w:val="007270D7"/>
    <w:rsid w:val="00770000"/>
    <w:rsid w:val="007B1F6E"/>
    <w:rsid w:val="007B5751"/>
    <w:rsid w:val="007C34F5"/>
    <w:rsid w:val="007E6EDD"/>
    <w:rsid w:val="00810CAE"/>
    <w:rsid w:val="008320B8"/>
    <w:rsid w:val="00871B63"/>
    <w:rsid w:val="008A4003"/>
    <w:rsid w:val="008B6CF9"/>
    <w:rsid w:val="008C120A"/>
    <w:rsid w:val="008C4EC7"/>
    <w:rsid w:val="008F33D5"/>
    <w:rsid w:val="00906FF2"/>
    <w:rsid w:val="009078EE"/>
    <w:rsid w:val="00925757"/>
    <w:rsid w:val="009535FE"/>
    <w:rsid w:val="00971073"/>
    <w:rsid w:val="00975444"/>
    <w:rsid w:val="009E6109"/>
    <w:rsid w:val="00A26CC8"/>
    <w:rsid w:val="00A32632"/>
    <w:rsid w:val="00A44BE1"/>
    <w:rsid w:val="00A55334"/>
    <w:rsid w:val="00A920C3"/>
    <w:rsid w:val="00B139B9"/>
    <w:rsid w:val="00B31EF5"/>
    <w:rsid w:val="00B34932"/>
    <w:rsid w:val="00B43AA8"/>
    <w:rsid w:val="00BD2B8B"/>
    <w:rsid w:val="00BD6421"/>
    <w:rsid w:val="00C108F5"/>
    <w:rsid w:val="00C1756E"/>
    <w:rsid w:val="00C17DD3"/>
    <w:rsid w:val="00C34778"/>
    <w:rsid w:val="00C97E9D"/>
    <w:rsid w:val="00CC3496"/>
    <w:rsid w:val="00CD03A8"/>
    <w:rsid w:val="00CE33E7"/>
    <w:rsid w:val="00CE4B31"/>
    <w:rsid w:val="00D33E3B"/>
    <w:rsid w:val="00D579A6"/>
    <w:rsid w:val="00D6623F"/>
    <w:rsid w:val="00D81455"/>
    <w:rsid w:val="00DF53D6"/>
    <w:rsid w:val="00E215F8"/>
    <w:rsid w:val="00E370DA"/>
    <w:rsid w:val="00E42742"/>
    <w:rsid w:val="00E4756E"/>
    <w:rsid w:val="00E873E0"/>
    <w:rsid w:val="00E91451"/>
    <w:rsid w:val="00EA20FC"/>
    <w:rsid w:val="00EB045D"/>
    <w:rsid w:val="00EE1C79"/>
    <w:rsid w:val="00F264B9"/>
    <w:rsid w:val="00F30CA9"/>
    <w:rsid w:val="00F450B3"/>
    <w:rsid w:val="00F962A1"/>
    <w:rsid w:val="00FB0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E07855"/>
  <w14:defaultImageDpi w14:val="96"/>
  <w15:docId w15:val="{0267F450-3DFA-43BD-9983-5F88F420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Outline0011">
    <w:name w:val="Outline001_1"/>
    <w:basedOn w:val="Normal"/>
    <w:uiPriority w:val="99"/>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style>
  <w:style w:type="paragraph" w:customStyle="1" w:styleId="ListParagra">
    <w:name w:val="List Paragra"/>
    <w:basedOn w:val="Normal"/>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Pr>
      <w:rFonts w:ascii="Segoe Print" w:hAnsi="Segoe Print" w:cs="Segoe Print"/>
    </w:rPr>
  </w:style>
  <w:style w:type="paragraph" w:styleId="Header">
    <w:name w:val="header"/>
    <w:basedOn w:val="Normal"/>
    <w:link w:val="HeaderChar"/>
    <w:uiPriority w:val="99"/>
    <w:unhideWhenUsed/>
    <w:rsid w:val="001B1ED0"/>
    <w:pPr>
      <w:tabs>
        <w:tab w:val="center" w:pos="4680"/>
        <w:tab w:val="right" w:pos="9360"/>
      </w:tabs>
    </w:pPr>
  </w:style>
  <w:style w:type="character" w:customStyle="1" w:styleId="HeaderChar">
    <w:name w:val="Header Char"/>
    <w:basedOn w:val="DefaultParagraphFont"/>
    <w:link w:val="Header"/>
    <w:uiPriority w:val="99"/>
    <w:rsid w:val="001B1ED0"/>
    <w:rPr>
      <w:rFonts w:ascii="Times New Roman" w:hAnsi="Times New Roman" w:cs="Times New Roman"/>
      <w:sz w:val="24"/>
      <w:szCs w:val="24"/>
    </w:rPr>
  </w:style>
  <w:style w:type="paragraph" w:styleId="Footer">
    <w:name w:val="footer"/>
    <w:basedOn w:val="Normal"/>
    <w:link w:val="FooterChar"/>
    <w:uiPriority w:val="99"/>
    <w:unhideWhenUsed/>
    <w:rsid w:val="001B1ED0"/>
    <w:pPr>
      <w:tabs>
        <w:tab w:val="center" w:pos="4680"/>
        <w:tab w:val="right" w:pos="9360"/>
      </w:tabs>
    </w:pPr>
  </w:style>
  <w:style w:type="character" w:customStyle="1" w:styleId="FooterChar">
    <w:name w:val="Footer Char"/>
    <w:basedOn w:val="DefaultParagraphFont"/>
    <w:link w:val="Footer"/>
    <w:uiPriority w:val="99"/>
    <w:rsid w:val="001B1ED0"/>
    <w:rPr>
      <w:rFonts w:ascii="Times New Roman" w:hAnsi="Times New Roman" w:cs="Times New Roman"/>
      <w:sz w:val="24"/>
      <w:szCs w:val="24"/>
    </w:rPr>
  </w:style>
  <w:style w:type="paragraph" w:styleId="ListParagraph">
    <w:name w:val="List Paragraph"/>
    <w:basedOn w:val="Normal"/>
    <w:uiPriority w:val="34"/>
    <w:qFormat/>
    <w:rsid w:val="00A32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1060">
      <w:bodyDiv w:val="1"/>
      <w:marLeft w:val="0"/>
      <w:marRight w:val="0"/>
      <w:marTop w:val="0"/>
      <w:marBottom w:val="0"/>
      <w:divBdr>
        <w:top w:val="none" w:sz="0" w:space="0" w:color="auto"/>
        <w:left w:val="none" w:sz="0" w:space="0" w:color="auto"/>
        <w:bottom w:val="none" w:sz="0" w:space="0" w:color="auto"/>
        <w:right w:val="none" w:sz="0" w:space="0" w:color="auto"/>
      </w:divBdr>
    </w:div>
    <w:div w:id="999698150">
      <w:bodyDiv w:val="1"/>
      <w:marLeft w:val="0"/>
      <w:marRight w:val="0"/>
      <w:marTop w:val="0"/>
      <w:marBottom w:val="0"/>
      <w:divBdr>
        <w:top w:val="none" w:sz="0" w:space="0" w:color="auto"/>
        <w:left w:val="none" w:sz="0" w:space="0" w:color="auto"/>
        <w:bottom w:val="none" w:sz="0" w:space="0" w:color="auto"/>
        <w:right w:val="none" w:sz="0" w:space="0" w:color="auto"/>
      </w:divBdr>
      <w:divsChild>
        <w:div w:id="1019546635">
          <w:marLeft w:val="480"/>
          <w:marRight w:val="0"/>
          <w:marTop w:val="0"/>
          <w:marBottom w:val="0"/>
          <w:divBdr>
            <w:top w:val="none" w:sz="0" w:space="0" w:color="auto"/>
            <w:left w:val="none" w:sz="0" w:space="0" w:color="auto"/>
            <w:bottom w:val="none" w:sz="0" w:space="0" w:color="auto"/>
            <w:right w:val="none" w:sz="0" w:space="0" w:color="auto"/>
          </w:divBdr>
        </w:div>
        <w:div w:id="495923695">
          <w:marLeft w:val="480"/>
          <w:marRight w:val="0"/>
          <w:marTop w:val="0"/>
          <w:marBottom w:val="0"/>
          <w:divBdr>
            <w:top w:val="none" w:sz="0" w:space="0" w:color="auto"/>
            <w:left w:val="none" w:sz="0" w:space="0" w:color="auto"/>
            <w:bottom w:val="none" w:sz="0" w:space="0" w:color="auto"/>
            <w:right w:val="none" w:sz="0" w:space="0" w:color="auto"/>
          </w:divBdr>
        </w:div>
      </w:divsChild>
    </w:div>
    <w:div w:id="1390685999">
      <w:bodyDiv w:val="1"/>
      <w:marLeft w:val="0"/>
      <w:marRight w:val="0"/>
      <w:marTop w:val="0"/>
      <w:marBottom w:val="0"/>
      <w:divBdr>
        <w:top w:val="none" w:sz="0" w:space="0" w:color="auto"/>
        <w:left w:val="none" w:sz="0" w:space="0" w:color="auto"/>
        <w:bottom w:val="none" w:sz="0" w:space="0" w:color="auto"/>
        <w:right w:val="none" w:sz="0" w:space="0" w:color="auto"/>
      </w:divBdr>
      <w:divsChild>
        <w:div w:id="597951693">
          <w:marLeft w:val="480"/>
          <w:marRight w:val="0"/>
          <w:marTop w:val="0"/>
          <w:marBottom w:val="0"/>
          <w:divBdr>
            <w:top w:val="none" w:sz="0" w:space="0" w:color="auto"/>
            <w:left w:val="none" w:sz="0" w:space="0" w:color="auto"/>
            <w:bottom w:val="none" w:sz="0" w:space="0" w:color="auto"/>
            <w:right w:val="none" w:sz="0" w:space="0" w:color="auto"/>
          </w:divBdr>
        </w:div>
        <w:div w:id="1176503290">
          <w:marLeft w:val="480"/>
          <w:marRight w:val="0"/>
          <w:marTop w:val="0"/>
          <w:marBottom w:val="0"/>
          <w:divBdr>
            <w:top w:val="none" w:sz="0" w:space="0" w:color="auto"/>
            <w:left w:val="none" w:sz="0" w:space="0" w:color="auto"/>
            <w:bottom w:val="none" w:sz="0" w:space="0" w:color="auto"/>
            <w:right w:val="none" w:sz="0" w:space="0" w:color="auto"/>
          </w:divBdr>
        </w:div>
        <w:div w:id="696010074">
          <w:marLeft w:val="480"/>
          <w:marRight w:val="0"/>
          <w:marTop w:val="0"/>
          <w:marBottom w:val="0"/>
          <w:divBdr>
            <w:top w:val="none" w:sz="0" w:space="0" w:color="auto"/>
            <w:left w:val="none" w:sz="0" w:space="0" w:color="auto"/>
            <w:bottom w:val="none" w:sz="0" w:space="0" w:color="auto"/>
            <w:right w:val="none" w:sz="0" w:space="0" w:color="auto"/>
          </w:divBdr>
        </w:div>
        <w:div w:id="577792734">
          <w:marLeft w:val="480"/>
          <w:marRight w:val="0"/>
          <w:marTop w:val="0"/>
          <w:marBottom w:val="0"/>
          <w:divBdr>
            <w:top w:val="none" w:sz="0" w:space="0" w:color="auto"/>
            <w:left w:val="none" w:sz="0" w:space="0" w:color="auto"/>
            <w:bottom w:val="none" w:sz="0" w:space="0" w:color="auto"/>
            <w:right w:val="none" w:sz="0" w:space="0" w:color="auto"/>
          </w:divBdr>
        </w:div>
        <w:div w:id="1761290973">
          <w:marLeft w:val="480"/>
          <w:marRight w:val="0"/>
          <w:marTop w:val="0"/>
          <w:marBottom w:val="0"/>
          <w:divBdr>
            <w:top w:val="none" w:sz="0" w:space="0" w:color="auto"/>
            <w:left w:val="none" w:sz="0" w:space="0" w:color="auto"/>
            <w:bottom w:val="none" w:sz="0" w:space="0" w:color="auto"/>
            <w:right w:val="none" w:sz="0" w:space="0" w:color="auto"/>
          </w:divBdr>
        </w:div>
        <w:div w:id="12427435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6C724-3BCB-4AE5-BFDC-B5379831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Brouwer</dc:creator>
  <cp:keywords/>
  <dc:description/>
  <cp:lastModifiedBy>Christopher Dorsey -LABOR-</cp:lastModifiedBy>
  <cp:revision>2</cp:revision>
  <cp:lastPrinted>2021-07-21T20:21:00Z</cp:lastPrinted>
  <dcterms:created xsi:type="dcterms:W3CDTF">2025-11-13T15:04:00Z</dcterms:created>
  <dcterms:modified xsi:type="dcterms:W3CDTF">2025-11-13T15:04:00Z</dcterms:modified>
</cp:coreProperties>
</file>