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DCB2" w14:textId="77777777" w:rsidR="000935BD" w:rsidRPr="006A0A4B" w:rsidRDefault="000935BD" w:rsidP="006A0A4B">
      <w:pPr>
        <w:pStyle w:val="Heading1"/>
        <w:rPr>
          <w:rFonts w:ascii="Times New Roman" w:eastAsia="MingLiU-ExtB" w:hAnsi="Times New Roman" w:cs="Times New Roman"/>
          <w:color w:val="auto"/>
          <w:sz w:val="24"/>
          <w:szCs w:val="24"/>
        </w:rPr>
      </w:pPr>
      <w:r w:rsidRPr="006A0A4B">
        <w:rPr>
          <w:rFonts w:ascii="Times New Roman" w:eastAsia="MingLiU-ExtB" w:hAnsi="Times New Roman" w:cs="Times New Roman"/>
          <w:color w:val="auto"/>
          <w:sz w:val="24"/>
          <w:szCs w:val="24"/>
        </w:rPr>
        <w:t>BEFORE THE MARYLAND BOARD OF INDIVIDUAL TAX PREPARERS</w:t>
      </w:r>
    </w:p>
    <w:p w14:paraId="00B962C6" w14:textId="77777777" w:rsidR="000935BD" w:rsidRPr="001B1ED0" w:rsidRDefault="000935BD">
      <w:pPr>
        <w:rPr>
          <w:rFonts w:eastAsia="MingLiU-ExtB"/>
        </w:rPr>
      </w:pPr>
    </w:p>
    <w:p w14:paraId="630EEBB1" w14:textId="14E0EA6C" w:rsidR="000935BD" w:rsidRPr="001B1ED0" w:rsidRDefault="000935BD" w:rsidP="001B1ED0">
      <w:pPr>
        <w:tabs>
          <w:tab w:val="left" w:pos="-1440"/>
          <w:tab w:val="left" w:pos="4590"/>
        </w:tabs>
        <w:rPr>
          <w:rFonts w:eastAsia="MingLiU-ExtB"/>
        </w:rPr>
      </w:pPr>
      <w:r w:rsidRPr="001B1ED0">
        <w:rPr>
          <w:rFonts w:eastAsia="MingLiU-ExtB"/>
        </w:rPr>
        <w:t>MARYLAND BOARD OF INDIVIDUAL</w:t>
      </w:r>
      <w:r w:rsidR="001B1ED0">
        <w:rPr>
          <w:rFonts w:eastAsia="MingLiU-ExtB"/>
        </w:rPr>
        <w:tab/>
      </w:r>
      <w:r w:rsidRPr="001B1ED0">
        <w:rPr>
          <w:rFonts w:eastAsia="MingLiU-ExtB"/>
        </w:rPr>
        <w:t>*</w:t>
      </w:r>
    </w:p>
    <w:p w14:paraId="4E74D41F" w14:textId="2E3D172D" w:rsidR="000935BD" w:rsidRPr="001B1ED0" w:rsidRDefault="000F4A80" w:rsidP="001B1ED0">
      <w:pPr>
        <w:tabs>
          <w:tab w:val="left" w:pos="-1440"/>
          <w:tab w:val="left" w:pos="4590"/>
        </w:tabs>
        <w:rPr>
          <w:rFonts w:eastAsia="MingLiU-ExtB"/>
        </w:rPr>
      </w:pPr>
      <w:r>
        <w:rPr>
          <w:rFonts w:eastAsia="MingLiU-ExtB"/>
        </w:rPr>
        <w:t>TAX PREPARERS</w:t>
      </w:r>
      <w:r>
        <w:rPr>
          <w:rFonts w:eastAsia="MingLiU-ExtB"/>
        </w:rPr>
        <w:tab/>
      </w:r>
    </w:p>
    <w:p w14:paraId="72FA8100" w14:textId="54D2B4E2" w:rsidR="000935BD" w:rsidRPr="001B1ED0" w:rsidRDefault="001B1ED0" w:rsidP="001B1ED0">
      <w:pPr>
        <w:tabs>
          <w:tab w:val="left" w:pos="4590"/>
        </w:tabs>
        <w:rPr>
          <w:rFonts w:eastAsia="MingLiU-ExtB"/>
        </w:rPr>
      </w:pPr>
      <w:r>
        <w:rPr>
          <w:rFonts w:eastAsia="MingLiU-ExtB"/>
        </w:rPr>
        <w:tab/>
      </w:r>
      <w:r w:rsidR="000935BD" w:rsidRPr="001B1ED0">
        <w:rPr>
          <w:rFonts w:eastAsia="MingLiU-ExtB"/>
        </w:rPr>
        <w:t>*</w:t>
      </w:r>
    </w:p>
    <w:p w14:paraId="0F33D1BE" w14:textId="6D8D335E" w:rsidR="000935BD" w:rsidRPr="001B1ED0" w:rsidRDefault="00D33E3B" w:rsidP="001B1ED0">
      <w:pPr>
        <w:tabs>
          <w:tab w:val="left" w:pos="-1440"/>
          <w:tab w:val="left" w:pos="4590"/>
        </w:tabs>
        <w:rPr>
          <w:rFonts w:eastAsia="MingLiU-ExtB"/>
        </w:rPr>
      </w:pPr>
      <w:r>
        <w:rPr>
          <w:rFonts w:eastAsia="MingLiU-ExtB"/>
        </w:rPr>
        <w:t>v</w:t>
      </w:r>
      <w:proofErr w:type="gramStart"/>
      <w:r>
        <w:rPr>
          <w:rFonts w:eastAsia="MingLiU-ExtB"/>
        </w:rPr>
        <w:t>.</w:t>
      </w:r>
      <w:r>
        <w:rPr>
          <w:rFonts w:eastAsia="MingLiU-ExtB"/>
        </w:rPr>
        <w:tab/>
      </w:r>
      <w:r>
        <w:rPr>
          <w:rFonts w:eastAsia="MingLiU-ExtB"/>
        </w:rPr>
        <w:tab/>
        <w:t>CASE</w:t>
      </w:r>
      <w:proofErr w:type="gramEnd"/>
      <w:r>
        <w:rPr>
          <w:rFonts w:eastAsia="MingLiU-ExtB"/>
        </w:rPr>
        <w:t xml:space="preserve"> NO. MITP </w:t>
      </w:r>
      <w:r w:rsidR="00533842">
        <w:rPr>
          <w:rFonts w:eastAsia="MingLiU-ExtB"/>
        </w:rPr>
        <w:t>2025-1</w:t>
      </w:r>
      <w:r w:rsidR="00C90247">
        <w:rPr>
          <w:rFonts w:eastAsia="MingLiU-ExtB"/>
        </w:rPr>
        <w:t>3</w:t>
      </w:r>
    </w:p>
    <w:p w14:paraId="52021980" w14:textId="32721BDE" w:rsidR="000935BD" w:rsidRPr="001B1ED0" w:rsidRDefault="001B1ED0" w:rsidP="001B1ED0">
      <w:pPr>
        <w:tabs>
          <w:tab w:val="left" w:pos="4590"/>
        </w:tabs>
        <w:rPr>
          <w:rFonts w:eastAsia="MingLiU-ExtB"/>
        </w:rPr>
      </w:pPr>
      <w:r>
        <w:rPr>
          <w:rFonts w:eastAsia="MingLiU-ExtB"/>
        </w:rPr>
        <w:tab/>
      </w:r>
      <w:r w:rsidR="000935BD" w:rsidRPr="001B1ED0">
        <w:rPr>
          <w:rFonts w:eastAsia="MingLiU-ExtB"/>
        </w:rPr>
        <w:t>*</w:t>
      </w:r>
    </w:p>
    <w:p w14:paraId="6BDDF2A5" w14:textId="31ECD205" w:rsidR="00396C6E" w:rsidRDefault="00C90247" w:rsidP="001B1ED0">
      <w:pPr>
        <w:tabs>
          <w:tab w:val="left" w:pos="-1440"/>
          <w:tab w:val="left" w:pos="4590"/>
        </w:tabs>
        <w:rPr>
          <w:rFonts w:eastAsia="MingLiU-ExtB"/>
        </w:rPr>
      </w:pPr>
      <w:r>
        <w:rPr>
          <w:rFonts w:eastAsia="MingLiU-ExtB"/>
        </w:rPr>
        <w:t>HENRY ARIAS</w:t>
      </w:r>
    </w:p>
    <w:p w14:paraId="3599152C" w14:textId="118A676B" w:rsidR="000935BD" w:rsidRPr="001B1ED0" w:rsidRDefault="00396C6E" w:rsidP="001B1ED0">
      <w:pPr>
        <w:tabs>
          <w:tab w:val="left" w:pos="-1440"/>
          <w:tab w:val="left" w:pos="4590"/>
        </w:tabs>
        <w:rPr>
          <w:rFonts w:eastAsia="MingLiU-ExtB"/>
        </w:rPr>
      </w:pPr>
      <w:r>
        <w:rPr>
          <w:rFonts w:eastAsia="MingLiU-ExtB"/>
        </w:rPr>
        <w:t>Reg.</w:t>
      </w:r>
      <w:r w:rsidR="00C90247">
        <w:rPr>
          <w:rFonts w:eastAsia="MingLiU-ExtB"/>
        </w:rPr>
        <w:t xml:space="preserve"> 1830</w:t>
      </w:r>
      <w:r w:rsidR="000935BD" w:rsidRPr="001B1ED0">
        <w:rPr>
          <w:rFonts w:eastAsia="MingLiU-ExtB"/>
        </w:rPr>
        <w:tab/>
      </w:r>
    </w:p>
    <w:p w14:paraId="3D981F82" w14:textId="0897EB6F" w:rsidR="001B1ED0" w:rsidRDefault="00EE1C79" w:rsidP="008320B8">
      <w:pPr>
        <w:tabs>
          <w:tab w:val="left" w:pos="1530"/>
          <w:tab w:val="left" w:pos="4590"/>
        </w:tabs>
        <w:rPr>
          <w:rFonts w:eastAsia="MingLiU-ExtB"/>
        </w:rPr>
      </w:pPr>
      <w:proofErr w:type="gramStart"/>
      <w:r w:rsidRPr="00EE1C79">
        <w:rPr>
          <w:rFonts w:eastAsia="MingLiU-ExtB"/>
          <w:i/>
          <w:iCs/>
        </w:rPr>
        <w:t>Respondent</w:t>
      </w:r>
      <w:r w:rsidR="001B1ED0">
        <w:rPr>
          <w:rFonts w:eastAsia="MingLiU-ExtB"/>
        </w:rPr>
        <w:tab/>
      </w:r>
      <w:r w:rsidR="00C90247">
        <w:rPr>
          <w:rFonts w:eastAsia="MingLiU-ExtB"/>
        </w:rPr>
        <w:tab/>
      </w:r>
      <w:r w:rsidR="000935BD" w:rsidRPr="001B1ED0">
        <w:rPr>
          <w:rFonts w:eastAsia="MingLiU-ExtB"/>
        </w:rPr>
        <w:t>*</w:t>
      </w:r>
      <w:proofErr w:type="gramEnd"/>
    </w:p>
    <w:p w14:paraId="58C55CCD" w14:textId="77777777" w:rsidR="000F4A80" w:rsidRDefault="000F4A80" w:rsidP="008320B8">
      <w:pPr>
        <w:tabs>
          <w:tab w:val="left" w:pos="1530"/>
          <w:tab w:val="left" w:pos="4590"/>
        </w:tabs>
        <w:rPr>
          <w:rFonts w:eastAsia="MingLiU-ExtB"/>
        </w:rPr>
      </w:pPr>
    </w:p>
    <w:p w14:paraId="4D399E56" w14:textId="19583B63" w:rsidR="008A4003" w:rsidRPr="009535FE" w:rsidRDefault="000935BD" w:rsidP="009535FE">
      <w:pPr>
        <w:tabs>
          <w:tab w:val="left" w:pos="-1440"/>
        </w:tabs>
        <w:jc w:val="center"/>
        <w:rPr>
          <w:rFonts w:eastAsia="MingLiU-ExtB"/>
        </w:rPr>
      </w:pPr>
      <w:r w:rsidRPr="001B1ED0">
        <w:rPr>
          <w:rFonts w:eastAsia="MingLiU-ExtB"/>
        </w:rPr>
        <w:t>*</w:t>
      </w:r>
      <w:r w:rsidR="001B1ED0">
        <w:rPr>
          <w:rFonts w:eastAsia="MingLiU-ExtB"/>
        </w:rPr>
        <w:tab/>
      </w:r>
      <w:r w:rsidRPr="001B1ED0">
        <w:rPr>
          <w:rFonts w:eastAsia="MingLiU-ExtB"/>
        </w:rPr>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001B1ED0">
        <w:rPr>
          <w:rFonts w:eastAsia="MingLiU-ExtB"/>
        </w:rPr>
        <w:tab/>
        <w:t>*</w:t>
      </w:r>
      <w:r w:rsidR="001B1ED0">
        <w:rPr>
          <w:rFonts w:eastAsia="MingLiU-ExtB"/>
        </w:rPr>
        <w:tab/>
        <w:t>*</w:t>
      </w:r>
      <w:r w:rsidR="001B1ED0">
        <w:rPr>
          <w:rFonts w:eastAsia="MingLiU-ExtB"/>
        </w:rPr>
        <w:tab/>
        <w:t>*</w:t>
      </w:r>
    </w:p>
    <w:p w14:paraId="2B04E8D3" w14:textId="77777777" w:rsidR="000F4A80" w:rsidRDefault="000F4A80" w:rsidP="001B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ExtB"/>
          <w:b/>
          <w:bCs/>
        </w:rPr>
      </w:pPr>
    </w:p>
    <w:p w14:paraId="223F85BF" w14:textId="069932E6" w:rsidR="000935BD" w:rsidRPr="006A0A4B" w:rsidRDefault="00EB045D" w:rsidP="006A0A4B">
      <w:pPr>
        <w:pStyle w:val="Heading2"/>
        <w:jc w:val="center"/>
        <w:rPr>
          <w:rFonts w:ascii="Times New Roman" w:eastAsia="MingLiU-ExtB" w:hAnsi="Times New Roman" w:cs="Times New Roman"/>
          <w:b/>
          <w:bCs/>
          <w:color w:val="auto"/>
          <w:sz w:val="24"/>
          <w:szCs w:val="24"/>
        </w:rPr>
      </w:pPr>
      <w:r w:rsidRPr="006A0A4B">
        <w:rPr>
          <w:rFonts w:ascii="Times New Roman" w:eastAsia="MingLiU-ExtB" w:hAnsi="Times New Roman" w:cs="Times New Roman"/>
          <w:b/>
          <w:bCs/>
          <w:color w:val="auto"/>
          <w:sz w:val="24"/>
          <w:szCs w:val="24"/>
        </w:rPr>
        <w:t>SETTLEMENT AGREEMENT AND CONSENT ORDER</w:t>
      </w:r>
    </w:p>
    <w:p w14:paraId="79FAC4E7" w14:textId="77777777" w:rsidR="000935BD" w:rsidRPr="001B1ED0" w:rsidRDefault="000935BD" w:rsidP="00590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MingLiU-ExtB"/>
        </w:rPr>
      </w:pPr>
    </w:p>
    <w:p w14:paraId="5A292CFA" w14:textId="66661155" w:rsidR="00EB045D" w:rsidRPr="005901F2" w:rsidRDefault="005901F2" w:rsidP="005901F2">
      <w:pPr>
        <w:ind w:firstLine="720"/>
        <w:rPr>
          <w:sz w:val="22"/>
          <w:szCs w:val="22"/>
        </w:rPr>
      </w:pPr>
      <w:r w:rsidRPr="005901F2">
        <w:rPr>
          <w:sz w:val="22"/>
          <w:szCs w:val="22"/>
        </w:rPr>
        <w:t xml:space="preserve">This matter comes before the Maryland Board of Individual Tax Preparers the (“Board”) </w:t>
      </w:r>
      <w:proofErr w:type="gramStart"/>
      <w:r w:rsidRPr="005901F2">
        <w:rPr>
          <w:sz w:val="22"/>
          <w:szCs w:val="22"/>
        </w:rPr>
        <w:t>as a result of</w:t>
      </w:r>
      <w:proofErr w:type="gramEnd"/>
      <w:r w:rsidRPr="005901F2">
        <w:rPr>
          <w:sz w:val="22"/>
          <w:szCs w:val="22"/>
        </w:rPr>
        <w:t xml:space="preserve"> a complaint filed by the Board against Henry Arias (the “Respondent”) in case number MITP-2025-13 for violations of the Maryland Individual Tax Preparers Act (the “Act”, Md. Code Ann., Business Occupations and Professions Article (“Bus. Occ. &amp; Prof.”), §21-101 et seq.). To resolve this matter without a formal hearing, the Board, and the Respondent (collectively “Parties”) have agreed to enter into this Settlement Agreement and Consent Order (“Consent Order”) to provide for the imposition of disciplinary measures that are fair and equitable in these circumstances and that are consistent with the best interests of Maryland’s citizens.</w:t>
      </w:r>
    </w:p>
    <w:p w14:paraId="1BC7D048" w14:textId="77777777" w:rsidR="005901F2" w:rsidRPr="005901F2" w:rsidRDefault="005901F2" w:rsidP="005901F2">
      <w:pPr>
        <w:ind w:firstLine="720"/>
        <w:rPr>
          <w:sz w:val="22"/>
          <w:szCs w:val="22"/>
        </w:rPr>
      </w:pPr>
    </w:p>
    <w:p w14:paraId="73D32FD7" w14:textId="412950D1" w:rsidR="005901F2" w:rsidRPr="006A0A4B" w:rsidRDefault="005901F2" w:rsidP="006A0A4B">
      <w:pPr>
        <w:pStyle w:val="Heading2"/>
        <w:jc w:val="center"/>
        <w:rPr>
          <w:rFonts w:ascii="Times New Roman" w:hAnsi="Times New Roman" w:cs="Times New Roman"/>
          <w:b/>
          <w:bCs/>
          <w:color w:val="auto"/>
          <w:sz w:val="24"/>
          <w:szCs w:val="24"/>
        </w:rPr>
      </w:pPr>
      <w:r w:rsidRPr="006A0A4B">
        <w:rPr>
          <w:rFonts w:ascii="Times New Roman" w:hAnsi="Times New Roman" w:cs="Times New Roman"/>
          <w:b/>
          <w:bCs/>
          <w:color w:val="auto"/>
          <w:sz w:val="24"/>
          <w:szCs w:val="24"/>
        </w:rPr>
        <w:t>THE PARTIES AGREE AND STIPULATE THAT:</w:t>
      </w:r>
    </w:p>
    <w:p w14:paraId="7DE15C75" w14:textId="77777777" w:rsidR="005901F2" w:rsidRPr="005901F2" w:rsidRDefault="005901F2" w:rsidP="00B31EF5">
      <w:pPr>
        <w:rPr>
          <w:sz w:val="22"/>
          <w:szCs w:val="22"/>
        </w:rPr>
      </w:pPr>
    </w:p>
    <w:p w14:paraId="0DBFCD86" w14:textId="7D750F63" w:rsidR="001E7DE7" w:rsidRPr="005901F2" w:rsidRDefault="005901F2" w:rsidP="00906FF2">
      <w:pPr>
        <w:pStyle w:val="ListParagraph"/>
        <w:numPr>
          <w:ilvl w:val="0"/>
          <w:numId w:val="4"/>
        </w:numPr>
        <w:ind w:left="0" w:firstLine="720"/>
        <w:jc w:val="both"/>
        <w:rPr>
          <w:sz w:val="22"/>
          <w:szCs w:val="22"/>
        </w:rPr>
      </w:pPr>
      <w:r w:rsidRPr="005901F2">
        <w:rPr>
          <w:sz w:val="22"/>
          <w:szCs w:val="22"/>
        </w:rPr>
        <w:t>The Respondent is registered in Maryland as an Individual Tax Preparer (registration number 01-1830). At all times relevant hereto, the Board had jurisdiction over the Respondent and the relevant subject matter.</w:t>
      </w:r>
      <w:r w:rsidR="001E7DE7" w:rsidRPr="005901F2">
        <w:rPr>
          <w:sz w:val="22"/>
          <w:szCs w:val="22"/>
        </w:rPr>
        <w:t xml:space="preserve"> </w:t>
      </w:r>
    </w:p>
    <w:p w14:paraId="123C4F78" w14:textId="77777777" w:rsidR="001E7DE7" w:rsidRPr="005901F2" w:rsidRDefault="001E7DE7" w:rsidP="001E7DE7">
      <w:pPr>
        <w:pStyle w:val="ListParagraph"/>
        <w:rPr>
          <w:sz w:val="22"/>
          <w:szCs w:val="22"/>
        </w:rPr>
      </w:pPr>
    </w:p>
    <w:p w14:paraId="4B5F5B0B" w14:textId="46C086E7" w:rsidR="005901F2" w:rsidRPr="005901F2" w:rsidRDefault="005901F2" w:rsidP="001E7DE7">
      <w:pPr>
        <w:pStyle w:val="ListParagraph"/>
        <w:numPr>
          <w:ilvl w:val="0"/>
          <w:numId w:val="4"/>
        </w:numPr>
        <w:ind w:left="0" w:firstLine="720"/>
        <w:jc w:val="both"/>
        <w:rPr>
          <w:rFonts w:eastAsia="MingLiU-ExtB"/>
          <w:sz w:val="22"/>
          <w:szCs w:val="22"/>
        </w:rPr>
      </w:pPr>
      <w:r w:rsidRPr="005901F2">
        <w:rPr>
          <w:rFonts w:eastAsia="MingLiU-ExtB"/>
          <w:sz w:val="22"/>
          <w:szCs w:val="22"/>
        </w:rPr>
        <w:t>On or about January 31, 2024, the Respondent completed and submitted a renewal application to the Board in which the Respondent certified under the penalties of perjury that he satisfied the sixteen (16) hour continuing education (“CE”) requirement pertaining to the renewal term. The application form advised that, if audited, proof of courses completed would be required.</w:t>
      </w:r>
    </w:p>
    <w:p w14:paraId="46E51C33" w14:textId="77777777" w:rsidR="005901F2" w:rsidRPr="005901F2" w:rsidRDefault="005901F2" w:rsidP="005901F2">
      <w:pPr>
        <w:pStyle w:val="ListParagraph"/>
        <w:rPr>
          <w:rFonts w:eastAsia="MingLiU-ExtB"/>
          <w:sz w:val="22"/>
          <w:szCs w:val="22"/>
        </w:rPr>
      </w:pPr>
    </w:p>
    <w:p w14:paraId="48538369" w14:textId="388CD0C0" w:rsidR="005901F2" w:rsidRPr="005901F2" w:rsidRDefault="005901F2" w:rsidP="001E7DE7">
      <w:pPr>
        <w:pStyle w:val="ListParagraph"/>
        <w:numPr>
          <w:ilvl w:val="0"/>
          <w:numId w:val="4"/>
        </w:numPr>
        <w:ind w:left="0" w:firstLine="720"/>
        <w:jc w:val="both"/>
        <w:rPr>
          <w:rFonts w:eastAsia="MingLiU-ExtB"/>
          <w:sz w:val="22"/>
          <w:szCs w:val="22"/>
        </w:rPr>
      </w:pPr>
      <w:r w:rsidRPr="005901F2">
        <w:rPr>
          <w:rFonts w:eastAsia="MingLiU-ExtB"/>
          <w:sz w:val="22"/>
          <w:szCs w:val="22"/>
        </w:rPr>
        <w:t>After submission of his application, the Respondent was randomly selected for audit to determine compliance with the CE requirement. On or about January 31, 2024, the Board sent an official email communication to the Respondent advising of the audit and requiring him to submit a list of all classes or courses taken in connection with the CE requirement, along with copies of completion certificates, by March 1, 2024. The Respondent failed to respond to the Board’s request.</w:t>
      </w:r>
    </w:p>
    <w:p w14:paraId="3D29C6D7" w14:textId="77777777" w:rsidR="005901F2" w:rsidRPr="005901F2" w:rsidRDefault="005901F2" w:rsidP="005901F2">
      <w:pPr>
        <w:pStyle w:val="ListParagraph"/>
        <w:rPr>
          <w:rFonts w:eastAsia="MingLiU-ExtB"/>
          <w:sz w:val="22"/>
          <w:szCs w:val="22"/>
        </w:rPr>
      </w:pPr>
    </w:p>
    <w:p w14:paraId="11567742" w14:textId="4C28872C" w:rsidR="005901F2" w:rsidRDefault="005901F2" w:rsidP="001E7DE7">
      <w:pPr>
        <w:pStyle w:val="ListParagraph"/>
        <w:numPr>
          <w:ilvl w:val="0"/>
          <w:numId w:val="4"/>
        </w:numPr>
        <w:ind w:left="0" w:firstLine="720"/>
        <w:jc w:val="both"/>
        <w:rPr>
          <w:rFonts w:eastAsia="MingLiU-ExtB"/>
          <w:sz w:val="22"/>
          <w:szCs w:val="22"/>
        </w:rPr>
      </w:pPr>
      <w:r w:rsidRPr="005901F2">
        <w:rPr>
          <w:rFonts w:eastAsia="MingLiU-ExtB"/>
          <w:sz w:val="22"/>
          <w:szCs w:val="22"/>
        </w:rPr>
        <w:t xml:space="preserve">On or about August 8, 2024, the Board sent a “Notice of Complaint” to the Respondent requesting that he provide a written response regarding the CE audit issues to the Board by September 9, 2024. The </w:t>
      </w:r>
      <w:proofErr w:type="gramStart"/>
      <w:r w:rsidRPr="005901F2">
        <w:rPr>
          <w:rFonts w:eastAsia="MingLiU-ExtB"/>
          <w:sz w:val="22"/>
          <w:szCs w:val="22"/>
        </w:rPr>
        <w:t>Respondent again</w:t>
      </w:r>
      <w:proofErr w:type="gramEnd"/>
      <w:r w:rsidRPr="005901F2">
        <w:rPr>
          <w:rFonts w:eastAsia="MingLiU-ExtB"/>
          <w:sz w:val="22"/>
          <w:szCs w:val="22"/>
        </w:rPr>
        <w:t xml:space="preserve"> failed to provide a response.</w:t>
      </w:r>
    </w:p>
    <w:p w14:paraId="1C60ED6D" w14:textId="77777777" w:rsidR="005901F2" w:rsidRPr="005901F2" w:rsidRDefault="005901F2" w:rsidP="005901F2">
      <w:pPr>
        <w:pStyle w:val="ListParagraph"/>
        <w:rPr>
          <w:rFonts w:eastAsia="MingLiU-ExtB"/>
          <w:sz w:val="22"/>
          <w:szCs w:val="22"/>
        </w:rPr>
      </w:pPr>
    </w:p>
    <w:p w14:paraId="01A44E37" w14:textId="77777777" w:rsidR="005901F2" w:rsidRDefault="005901F2" w:rsidP="005901F2">
      <w:pPr>
        <w:pStyle w:val="ListParagraph"/>
        <w:numPr>
          <w:ilvl w:val="0"/>
          <w:numId w:val="4"/>
        </w:numPr>
        <w:jc w:val="both"/>
        <w:rPr>
          <w:rFonts w:eastAsia="MingLiU-ExtB"/>
          <w:sz w:val="22"/>
          <w:szCs w:val="22"/>
        </w:rPr>
      </w:pPr>
      <w:r w:rsidRPr="005901F2">
        <w:rPr>
          <w:rFonts w:eastAsia="MingLiU-ExtB"/>
          <w:sz w:val="22"/>
          <w:szCs w:val="22"/>
        </w:rPr>
        <w:t>The Respondent failed to provide any evidence of CE completion during the subject</w:t>
      </w:r>
    </w:p>
    <w:p w14:paraId="1BD8E0B0" w14:textId="77777777" w:rsidR="005901F2" w:rsidRPr="005901F2" w:rsidRDefault="005901F2" w:rsidP="005901F2">
      <w:pPr>
        <w:pStyle w:val="ListParagraph"/>
        <w:rPr>
          <w:rFonts w:eastAsia="MingLiU-ExtB"/>
          <w:sz w:val="22"/>
          <w:szCs w:val="22"/>
        </w:rPr>
      </w:pPr>
    </w:p>
    <w:p w14:paraId="19D5AF32" w14:textId="105DEF5A" w:rsidR="005901F2" w:rsidRDefault="005901F2" w:rsidP="005901F2">
      <w:pPr>
        <w:pStyle w:val="ListParagraph"/>
        <w:numPr>
          <w:ilvl w:val="0"/>
          <w:numId w:val="4"/>
        </w:numPr>
        <w:jc w:val="both"/>
        <w:rPr>
          <w:rFonts w:eastAsia="MingLiU-ExtB"/>
          <w:sz w:val="22"/>
          <w:szCs w:val="22"/>
        </w:rPr>
      </w:pPr>
      <w:r w:rsidRPr="005901F2">
        <w:rPr>
          <w:rFonts w:eastAsia="MingLiU-ExtB"/>
          <w:sz w:val="22"/>
          <w:szCs w:val="22"/>
        </w:rPr>
        <w:t>The Respondent did not meet the CE requirements at the time of submission of his renewal</w:t>
      </w:r>
      <w:r>
        <w:rPr>
          <w:rFonts w:eastAsia="MingLiU-ExtB"/>
          <w:sz w:val="22"/>
          <w:szCs w:val="22"/>
        </w:rPr>
        <w:t>.</w:t>
      </w:r>
    </w:p>
    <w:p w14:paraId="712F487D" w14:textId="77777777" w:rsidR="005901F2" w:rsidRPr="005901F2" w:rsidRDefault="005901F2" w:rsidP="005901F2">
      <w:pPr>
        <w:pStyle w:val="ListParagraph"/>
        <w:rPr>
          <w:rFonts w:eastAsia="MingLiU-ExtB"/>
          <w:sz w:val="22"/>
          <w:szCs w:val="22"/>
        </w:rPr>
      </w:pPr>
    </w:p>
    <w:p w14:paraId="6F316824" w14:textId="77777777" w:rsidR="005901F2" w:rsidRPr="005901F2" w:rsidRDefault="005901F2" w:rsidP="005901F2">
      <w:pPr>
        <w:pStyle w:val="ListParagraph"/>
        <w:rPr>
          <w:rFonts w:eastAsia="MingLiU-ExtB"/>
          <w:sz w:val="22"/>
          <w:szCs w:val="22"/>
        </w:rPr>
      </w:pPr>
    </w:p>
    <w:p w14:paraId="5BF8B480" w14:textId="5CADCF1C" w:rsidR="005901F2" w:rsidRDefault="005901F2" w:rsidP="005901F2">
      <w:pPr>
        <w:pStyle w:val="ListParagraph"/>
        <w:numPr>
          <w:ilvl w:val="0"/>
          <w:numId w:val="4"/>
        </w:numPr>
        <w:jc w:val="both"/>
        <w:rPr>
          <w:rFonts w:eastAsia="MingLiU-ExtB"/>
          <w:sz w:val="22"/>
          <w:szCs w:val="22"/>
        </w:rPr>
      </w:pPr>
      <w:r w:rsidRPr="005901F2">
        <w:rPr>
          <w:rFonts w:eastAsia="MingLiU-ExtB"/>
          <w:sz w:val="22"/>
          <w:szCs w:val="22"/>
        </w:rPr>
        <w:t>The Board renewed the Respondent’s license based, in part, on the Respondent’s misrepresentation that he had completed the CE requirements for the subject renewal period at the time of his application.</w:t>
      </w:r>
    </w:p>
    <w:p w14:paraId="35D88134" w14:textId="77777777" w:rsidR="00BF3F1A" w:rsidRPr="00BF3F1A" w:rsidRDefault="00BF3F1A" w:rsidP="00BF3F1A">
      <w:pPr>
        <w:jc w:val="both"/>
        <w:rPr>
          <w:rFonts w:eastAsia="MingLiU-ExtB"/>
          <w:sz w:val="22"/>
          <w:szCs w:val="22"/>
        </w:rPr>
      </w:pPr>
    </w:p>
    <w:p w14:paraId="0834E67F" w14:textId="77777777" w:rsidR="00BF3F1A" w:rsidRDefault="00BF3F1A" w:rsidP="005901F2">
      <w:pPr>
        <w:pStyle w:val="ListParagraph"/>
        <w:numPr>
          <w:ilvl w:val="0"/>
          <w:numId w:val="4"/>
        </w:numPr>
        <w:jc w:val="both"/>
        <w:rPr>
          <w:rFonts w:eastAsia="MingLiU-ExtB"/>
          <w:sz w:val="22"/>
          <w:szCs w:val="22"/>
        </w:rPr>
      </w:pPr>
      <w:r w:rsidRPr="00BF3F1A">
        <w:rPr>
          <w:rFonts w:eastAsia="MingLiU-ExtB"/>
          <w:sz w:val="22"/>
          <w:szCs w:val="22"/>
        </w:rPr>
        <w:t xml:space="preserve">The Act provides, in pertinent part: </w:t>
      </w:r>
    </w:p>
    <w:p w14:paraId="707B4471" w14:textId="77777777" w:rsidR="00BF3F1A" w:rsidRPr="00BF3F1A" w:rsidRDefault="00BF3F1A" w:rsidP="00BF3F1A">
      <w:pPr>
        <w:pStyle w:val="ListParagraph"/>
        <w:rPr>
          <w:rFonts w:eastAsia="MingLiU-ExtB"/>
          <w:sz w:val="22"/>
          <w:szCs w:val="22"/>
        </w:rPr>
      </w:pPr>
    </w:p>
    <w:p w14:paraId="4019587B" w14:textId="77777777" w:rsidR="00BF3F1A" w:rsidRDefault="00BF3F1A" w:rsidP="00BF3F1A">
      <w:pPr>
        <w:pStyle w:val="ListParagraph"/>
        <w:ind w:left="1260"/>
        <w:jc w:val="both"/>
        <w:rPr>
          <w:rFonts w:eastAsia="MingLiU-ExtB"/>
          <w:sz w:val="22"/>
          <w:szCs w:val="22"/>
        </w:rPr>
      </w:pPr>
      <w:r w:rsidRPr="00BF3F1A">
        <w:rPr>
          <w:rFonts w:eastAsia="MingLiU-ExtB"/>
          <w:b/>
          <w:bCs/>
          <w:sz w:val="22"/>
          <w:szCs w:val="22"/>
        </w:rPr>
        <w:t>BOP §21-309 Continuing education</w:t>
      </w:r>
      <w:r w:rsidRPr="00BF3F1A">
        <w:rPr>
          <w:rFonts w:eastAsia="MingLiU-ExtB"/>
          <w:sz w:val="22"/>
          <w:szCs w:val="22"/>
        </w:rPr>
        <w:t>.</w:t>
      </w:r>
    </w:p>
    <w:p w14:paraId="49601384" w14:textId="77777777" w:rsidR="00BF3F1A" w:rsidRDefault="00BF3F1A" w:rsidP="00BF3F1A">
      <w:pPr>
        <w:pStyle w:val="ListParagraph"/>
        <w:ind w:left="1260"/>
        <w:jc w:val="both"/>
        <w:rPr>
          <w:rFonts w:eastAsia="MingLiU-ExtB"/>
          <w:sz w:val="22"/>
          <w:szCs w:val="22"/>
        </w:rPr>
      </w:pPr>
    </w:p>
    <w:p w14:paraId="07DA08F8" w14:textId="77777777" w:rsidR="00BF3F1A" w:rsidRDefault="00BF3F1A" w:rsidP="00BF3F1A">
      <w:pPr>
        <w:pStyle w:val="ListParagraph"/>
        <w:ind w:left="1260"/>
        <w:jc w:val="both"/>
        <w:rPr>
          <w:rFonts w:eastAsia="MingLiU-ExtB"/>
          <w:sz w:val="22"/>
          <w:szCs w:val="22"/>
        </w:rPr>
      </w:pPr>
      <w:r w:rsidRPr="00BF3F1A">
        <w:rPr>
          <w:rFonts w:eastAsia="MingLiU-ExtB"/>
          <w:sz w:val="22"/>
          <w:szCs w:val="22"/>
        </w:rPr>
        <w:t xml:space="preserve"> (a). . . </w:t>
      </w:r>
    </w:p>
    <w:p w14:paraId="4E3E1008" w14:textId="77777777" w:rsidR="00BF3F1A" w:rsidRDefault="00BF3F1A" w:rsidP="00BF3F1A">
      <w:pPr>
        <w:pStyle w:val="ListParagraph"/>
        <w:ind w:left="1260"/>
        <w:jc w:val="both"/>
        <w:rPr>
          <w:rFonts w:eastAsia="MingLiU-ExtB"/>
          <w:sz w:val="22"/>
          <w:szCs w:val="22"/>
        </w:rPr>
      </w:pPr>
      <w:r>
        <w:rPr>
          <w:rFonts w:eastAsia="MingLiU-ExtB"/>
          <w:sz w:val="22"/>
          <w:szCs w:val="22"/>
        </w:rPr>
        <w:t xml:space="preserve">    </w:t>
      </w:r>
      <w:r w:rsidRPr="00BF3F1A">
        <w:rPr>
          <w:rFonts w:eastAsia="MingLiU-ExtB"/>
          <w:sz w:val="22"/>
          <w:szCs w:val="22"/>
        </w:rPr>
        <w:t xml:space="preserve">(2) An individual shall complete at least 16 hours of continuing education activities every 2 years. </w:t>
      </w:r>
    </w:p>
    <w:p w14:paraId="360C37C2" w14:textId="77777777" w:rsidR="00BF3F1A" w:rsidRDefault="00BF3F1A" w:rsidP="00BF3F1A">
      <w:pPr>
        <w:pStyle w:val="ListParagraph"/>
        <w:ind w:left="1260"/>
        <w:jc w:val="both"/>
        <w:rPr>
          <w:rFonts w:eastAsia="MingLiU-ExtB"/>
          <w:sz w:val="22"/>
          <w:szCs w:val="22"/>
        </w:rPr>
      </w:pPr>
    </w:p>
    <w:p w14:paraId="2D299BA5" w14:textId="77777777" w:rsidR="00BF3F1A" w:rsidRDefault="00BF3F1A" w:rsidP="00BF3F1A">
      <w:pPr>
        <w:pStyle w:val="ListParagraph"/>
        <w:ind w:left="1260"/>
        <w:jc w:val="both"/>
        <w:rPr>
          <w:rFonts w:eastAsia="MingLiU-ExtB"/>
          <w:sz w:val="22"/>
          <w:szCs w:val="22"/>
        </w:rPr>
      </w:pPr>
      <w:r w:rsidRPr="00BF3F1A">
        <w:rPr>
          <w:rFonts w:eastAsia="MingLiU-ExtB"/>
          <w:b/>
          <w:bCs/>
          <w:sz w:val="22"/>
          <w:szCs w:val="22"/>
        </w:rPr>
        <w:t>BOP §21-311 Denial, suspension, revocation of registration; reprimands; penalties</w:t>
      </w:r>
      <w:r w:rsidRPr="00BF3F1A">
        <w:rPr>
          <w:rFonts w:eastAsia="MingLiU-ExtB"/>
          <w:sz w:val="22"/>
          <w:szCs w:val="22"/>
        </w:rPr>
        <w:t xml:space="preserve">. </w:t>
      </w:r>
    </w:p>
    <w:p w14:paraId="5CFC4CFE" w14:textId="77777777" w:rsidR="00BF3F1A" w:rsidRDefault="00BF3F1A" w:rsidP="00BF3F1A">
      <w:pPr>
        <w:pStyle w:val="ListParagraph"/>
        <w:ind w:left="1260"/>
        <w:jc w:val="both"/>
        <w:rPr>
          <w:rFonts w:eastAsia="MingLiU-ExtB"/>
          <w:sz w:val="22"/>
          <w:szCs w:val="22"/>
        </w:rPr>
      </w:pPr>
    </w:p>
    <w:p w14:paraId="0690EBED" w14:textId="77777777" w:rsidR="00BF3F1A" w:rsidRDefault="00BF3F1A" w:rsidP="00BF3F1A">
      <w:pPr>
        <w:pStyle w:val="ListParagraph"/>
        <w:ind w:left="1260"/>
        <w:jc w:val="both"/>
        <w:rPr>
          <w:rFonts w:eastAsia="MingLiU-ExtB"/>
          <w:sz w:val="22"/>
          <w:szCs w:val="22"/>
        </w:rPr>
      </w:pPr>
      <w:r w:rsidRPr="00BF3F1A">
        <w:rPr>
          <w:rFonts w:eastAsia="MingLiU-ExtB"/>
          <w:sz w:val="22"/>
          <w:szCs w:val="22"/>
        </w:rPr>
        <w:t xml:space="preserve">(a) Subject to the hearing provisions of § 21-312 of this subtitle, the Board, on the affirmative vote of a majority of its members then serving, may deny a registration to any applicant, reprimand any registered individual, or suspend or revoke a registration if the applicant or registered individual: </w:t>
      </w:r>
    </w:p>
    <w:p w14:paraId="1CD9456F" w14:textId="77777777" w:rsidR="00BF3F1A" w:rsidRDefault="00BF3F1A" w:rsidP="00BF3F1A">
      <w:pPr>
        <w:pStyle w:val="ListParagraph"/>
        <w:ind w:left="1260"/>
        <w:jc w:val="both"/>
        <w:rPr>
          <w:rFonts w:eastAsia="MingLiU-ExtB"/>
          <w:sz w:val="22"/>
          <w:szCs w:val="22"/>
        </w:rPr>
      </w:pPr>
    </w:p>
    <w:p w14:paraId="58784977" w14:textId="77777777" w:rsidR="00BF3F1A" w:rsidRDefault="00BF3F1A" w:rsidP="00BF3F1A">
      <w:pPr>
        <w:pStyle w:val="ListParagraph"/>
        <w:ind w:left="1260"/>
        <w:jc w:val="both"/>
        <w:rPr>
          <w:rFonts w:eastAsia="MingLiU-ExtB"/>
          <w:sz w:val="22"/>
          <w:szCs w:val="22"/>
        </w:rPr>
      </w:pPr>
      <w:r w:rsidRPr="00BF3F1A">
        <w:rPr>
          <w:rFonts w:eastAsia="MingLiU-ExtB"/>
          <w:sz w:val="22"/>
          <w:szCs w:val="22"/>
        </w:rPr>
        <w:t xml:space="preserve">(1) fraudulently or deceptively obtains or attempts to obtain a registration for the applicant or registered individual or for another; . . . </w:t>
      </w:r>
    </w:p>
    <w:p w14:paraId="3FB33AA2" w14:textId="77777777" w:rsidR="00BF3F1A" w:rsidRDefault="00BF3F1A" w:rsidP="00BF3F1A">
      <w:pPr>
        <w:pStyle w:val="ListParagraph"/>
        <w:ind w:left="1260"/>
        <w:jc w:val="both"/>
        <w:rPr>
          <w:rFonts w:eastAsia="MingLiU-ExtB"/>
          <w:sz w:val="22"/>
          <w:szCs w:val="22"/>
        </w:rPr>
      </w:pPr>
    </w:p>
    <w:p w14:paraId="1442353F" w14:textId="77777777" w:rsidR="00BF3F1A" w:rsidRDefault="00BF3F1A" w:rsidP="00BF3F1A">
      <w:pPr>
        <w:pStyle w:val="ListParagraph"/>
        <w:ind w:left="1260"/>
        <w:jc w:val="both"/>
        <w:rPr>
          <w:rFonts w:eastAsia="MingLiU-ExtB"/>
          <w:sz w:val="22"/>
          <w:szCs w:val="22"/>
        </w:rPr>
      </w:pPr>
      <w:r w:rsidRPr="00BF3F1A">
        <w:rPr>
          <w:rFonts w:eastAsia="MingLiU-ExtB"/>
          <w:sz w:val="22"/>
          <w:szCs w:val="22"/>
        </w:rPr>
        <w:t xml:space="preserve">(5) violates any regulation adopted under this title; or </w:t>
      </w:r>
    </w:p>
    <w:p w14:paraId="0F91D2D9" w14:textId="77777777" w:rsidR="00BF3F1A" w:rsidRDefault="00BF3F1A" w:rsidP="00BF3F1A">
      <w:pPr>
        <w:pStyle w:val="ListParagraph"/>
        <w:ind w:left="1260"/>
        <w:jc w:val="both"/>
        <w:rPr>
          <w:rFonts w:eastAsia="MingLiU-ExtB"/>
          <w:sz w:val="22"/>
          <w:szCs w:val="22"/>
        </w:rPr>
      </w:pPr>
    </w:p>
    <w:p w14:paraId="4226EDCF" w14:textId="77777777" w:rsidR="00BF3F1A" w:rsidRDefault="00BF3F1A" w:rsidP="00BF3F1A">
      <w:pPr>
        <w:pStyle w:val="ListParagraph"/>
        <w:ind w:left="1260"/>
        <w:jc w:val="both"/>
        <w:rPr>
          <w:rFonts w:eastAsia="MingLiU-ExtB"/>
          <w:sz w:val="22"/>
          <w:szCs w:val="22"/>
        </w:rPr>
      </w:pPr>
      <w:r w:rsidRPr="00BF3F1A">
        <w:rPr>
          <w:rFonts w:eastAsia="MingLiU-ExtB"/>
          <w:sz w:val="22"/>
          <w:szCs w:val="22"/>
        </w:rPr>
        <w:t xml:space="preserve">(6) violates any provision of this title. </w:t>
      </w:r>
    </w:p>
    <w:p w14:paraId="7D1A4F61" w14:textId="77777777" w:rsidR="00BF3F1A" w:rsidRDefault="00BF3F1A" w:rsidP="00BF3F1A">
      <w:pPr>
        <w:pStyle w:val="ListParagraph"/>
        <w:ind w:left="1260"/>
        <w:jc w:val="both"/>
        <w:rPr>
          <w:rFonts w:eastAsia="MingLiU-ExtB"/>
          <w:sz w:val="22"/>
          <w:szCs w:val="22"/>
        </w:rPr>
      </w:pPr>
    </w:p>
    <w:p w14:paraId="21A62A6B" w14:textId="77777777" w:rsidR="00BF3F1A" w:rsidRDefault="00BF3F1A" w:rsidP="00BF3F1A">
      <w:pPr>
        <w:pStyle w:val="ListParagraph"/>
        <w:ind w:left="1260"/>
        <w:jc w:val="both"/>
        <w:rPr>
          <w:rFonts w:eastAsia="MingLiU-ExtB"/>
          <w:sz w:val="22"/>
          <w:szCs w:val="22"/>
        </w:rPr>
      </w:pPr>
      <w:r w:rsidRPr="00BF3F1A">
        <w:rPr>
          <w:rFonts w:eastAsia="MingLiU-ExtB"/>
          <w:b/>
          <w:bCs/>
          <w:sz w:val="22"/>
          <w:szCs w:val="22"/>
        </w:rPr>
        <w:t>COMAR 09.38.02.02 Basic Requirement.</w:t>
      </w:r>
      <w:r w:rsidRPr="00BF3F1A">
        <w:rPr>
          <w:rFonts w:eastAsia="MingLiU-ExtB"/>
          <w:sz w:val="22"/>
          <w:szCs w:val="22"/>
        </w:rPr>
        <w:t xml:space="preserve"> </w:t>
      </w:r>
    </w:p>
    <w:p w14:paraId="28B75950" w14:textId="77777777" w:rsidR="00BF3F1A" w:rsidRDefault="00BF3F1A" w:rsidP="00BF3F1A">
      <w:pPr>
        <w:pStyle w:val="ListParagraph"/>
        <w:ind w:left="1260"/>
        <w:jc w:val="both"/>
        <w:rPr>
          <w:rFonts w:eastAsia="MingLiU-ExtB"/>
          <w:sz w:val="22"/>
          <w:szCs w:val="22"/>
        </w:rPr>
      </w:pPr>
    </w:p>
    <w:p w14:paraId="1294C4BD" w14:textId="1CF2332E" w:rsidR="00BF3F1A" w:rsidRDefault="00BF3F1A" w:rsidP="00BF3F1A">
      <w:pPr>
        <w:pStyle w:val="ListParagraph"/>
        <w:numPr>
          <w:ilvl w:val="0"/>
          <w:numId w:val="6"/>
        </w:numPr>
        <w:jc w:val="both"/>
        <w:rPr>
          <w:rFonts w:eastAsia="MingLiU-ExtB"/>
          <w:sz w:val="22"/>
          <w:szCs w:val="22"/>
        </w:rPr>
      </w:pPr>
      <w:r w:rsidRPr="00BF3F1A">
        <w:rPr>
          <w:rFonts w:eastAsia="MingLiU-ExtB"/>
          <w:sz w:val="22"/>
          <w:szCs w:val="22"/>
        </w:rPr>
        <w:t>A renewal applicant shall complete at least 16 hours of qualifying continuing education for each 2-year registration term</w:t>
      </w:r>
    </w:p>
    <w:p w14:paraId="5D839B85" w14:textId="77777777" w:rsidR="00BF3F1A" w:rsidRPr="00BF3F1A" w:rsidRDefault="00BF3F1A" w:rsidP="00BF3F1A">
      <w:pPr>
        <w:pStyle w:val="ListParagraph"/>
        <w:ind w:left="1620"/>
        <w:jc w:val="both"/>
        <w:rPr>
          <w:rFonts w:eastAsia="MingLiU-ExtB"/>
          <w:sz w:val="22"/>
          <w:szCs w:val="22"/>
        </w:rPr>
      </w:pPr>
    </w:p>
    <w:p w14:paraId="0977D6A2" w14:textId="731415BF" w:rsidR="00BF3F1A" w:rsidRDefault="00BF3F1A" w:rsidP="00BF3F1A">
      <w:pPr>
        <w:pStyle w:val="ListParagraph"/>
        <w:numPr>
          <w:ilvl w:val="0"/>
          <w:numId w:val="4"/>
        </w:numPr>
        <w:jc w:val="both"/>
        <w:rPr>
          <w:rFonts w:eastAsia="MingLiU-ExtB"/>
          <w:sz w:val="22"/>
          <w:szCs w:val="22"/>
        </w:rPr>
      </w:pPr>
      <w:r w:rsidRPr="00BF3F1A">
        <w:rPr>
          <w:rFonts w:eastAsia="MingLiU-ExtB"/>
          <w:sz w:val="22"/>
          <w:szCs w:val="22"/>
        </w:rPr>
        <w:t>The Respondent acknowledges and admits that he has violated and is subject to Bus. Occ. &amp; Prof. §§21-309, 21-311(a)(1), 21-311(a)(5), 21-311(a)(6), and COMAR 09.38.02.02. Accordingly, the Respondent agrees to the entry of this Consent Order by the Board finding him in violation and imposing sanctions.</w:t>
      </w:r>
    </w:p>
    <w:p w14:paraId="220254C5" w14:textId="77777777" w:rsidR="00BF3F1A" w:rsidRPr="00BF3F1A" w:rsidRDefault="00BF3F1A" w:rsidP="00BF3F1A">
      <w:pPr>
        <w:jc w:val="both"/>
        <w:rPr>
          <w:rFonts w:eastAsia="MingLiU-ExtB"/>
          <w:sz w:val="22"/>
          <w:szCs w:val="22"/>
        </w:rPr>
      </w:pPr>
    </w:p>
    <w:p w14:paraId="7F331D42" w14:textId="337FB851" w:rsidR="00BF3F1A" w:rsidRDefault="00BF3F1A" w:rsidP="00BF3F1A">
      <w:pPr>
        <w:pStyle w:val="ListParagraph"/>
        <w:numPr>
          <w:ilvl w:val="0"/>
          <w:numId w:val="4"/>
        </w:numPr>
        <w:jc w:val="both"/>
        <w:rPr>
          <w:rFonts w:eastAsia="MingLiU-ExtB"/>
          <w:sz w:val="22"/>
          <w:szCs w:val="22"/>
        </w:rPr>
      </w:pPr>
      <w:r w:rsidRPr="00BF3F1A">
        <w:rPr>
          <w:rFonts w:eastAsia="MingLiU-ExtB"/>
          <w:sz w:val="22"/>
          <w:szCs w:val="22"/>
        </w:rPr>
        <w:t>Pursuant to BOP §§ 21-311, the Board has the authority to reprimand, suspend or revoke a license based on specified violations of the Act and its corresponding regulations. Further, pursuant to BOP §§ 21-311 and 21-405(a), the Board has the authority to impose a civil penalty of up to $5,000 for each violation of the Act and its corresponding regulations. Based on his violations in this case, the Respondent agrees that he shall pay a civil penalty to the Board in the Page 3 of 4 amount of $250.00 which shall be due and payable immediately upon his execution of this Consent Order. If the Respondent fails to pay the civil penalty amount in full when due, his Maryland Individual Tax Preparer registration shall be immediately and automatically suspended until such time as the required payment is made.</w:t>
      </w:r>
    </w:p>
    <w:p w14:paraId="565C3B13" w14:textId="77777777" w:rsidR="0043618E" w:rsidRPr="0043618E" w:rsidRDefault="0043618E" w:rsidP="0043618E">
      <w:pPr>
        <w:pStyle w:val="ListParagraph"/>
        <w:rPr>
          <w:rFonts w:eastAsia="MingLiU-ExtB"/>
          <w:sz w:val="22"/>
          <w:szCs w:val="22"/>
        </w:rPr>
      </w:pPr>
    </w:p>
    <w:p w14:paraId="7DC3A9F6" w14:textId="1A93C2C3" w:rsidR="0043618E" w:rsidRDefault="0043618E" w:rsidP="00BF3F1A">
      <w:pPr>
        <w:pStyle w:val="ListParagraph"/>
        <w:numPr>
          <w:ilvl w:val="0"/>
          <w:numId w:val="4"/>
        </w:numPr>
        <w:jc w:val="both"/>
        <w:rPr>
          <w:rFonts w:eastAsia="MingLiU-ExtB"/>
          <w:sz w:val="22"/>
          <w:szCs w:val="22"/>
        </w:rPr>
      </w:pPr>
      <w:r w:rsidRPr="0043618E">
        <w:rPr>
          <w:rFonts w:eastAsia="MingLiU-ExtB"/>
          <w:sz w:val="22"/>
          <w:szCs w:val="22"/>
        </w:rPr>
        <w:t xml:space="preserve">By entering into this Consent Order, the Respondent, in relation to these matters, expressly waives the right to any further written notification of administrative charges, to an </w:t>
      </w:r>
      <w:r w:rsidRPr="0043618E">
        <w:rPr>
          <w:rFonts w:eastAsia="MingLiU-ExtB"/>
          <w:sz w:val="22"/>
          <w:szCs w:val="22"/>
        </w:rPr>
        <w:lastRenderedPageBreak/>
        <w:t>administrative hearing before the Board or its designee on any charges, to the making of Findings of Fact and Conclusions of Law, to any and all other proceedings before the Board or its designee on these matters, and to any rights to appeal from this Consent Order to any court of competent jurisdiction.</w:t>
      </w:r>
    </w:p>
    <w:p w14:paraId="6FE39508" w14:textId="77777777" w:rsidR="0043618E" w:rsidRPr="0043618E" w:rsidRDefault="0043618E" w:rsidP="0043618E">
      <w:pPr>
        <w:pStyle w:val="ListParagraph"/>
        <w:rPr>
          <w:rFonts w:eastAsia="MingLiU-ExtB"/>
          <w:sz w:val="22"/>
          <w:szCs w:val="22"/>
        </w:rPr>
      </w:pPr>
    </w:p>
    <w:p w14:paraId="4B3FF695" w14:textId="5E442CF1" w:rsidR="0043618E" w:rsidRDefault="0043618E" w:rsidP="00BF3F1A">
      <w:pPr>
        <w:pStyle w:val="ListParagraph"/>
        <w:numPr>
          <w:ilvl w:val="0"/>
          <w:numId w:val="4"/>
        </w:numPr>
        <w:jc w:val="both"/>
        <w:rPr>
          <w:rFonts w:eastAsia="MingLiU-ExtB"/>
          <w:sz w:val="22"/>
          <w:szCs w:val="22"/>
        </w:rPr>
      </w:pPr>
      <w:r w:rsidRPr="0043618E">
        <w:rPr>
          <w:rFonts w:eastAsia="MingLiU-ExtB"/>
          <w:sz w:val="22"/>
          <w:szCs w:val="22"/>
        </w:rPr>
        <w:t>The Parties agree that a future waiver of any of the rights or duties provided herein must be in writing. Any such waiver constitutes a one-time waiver on a case-by-case basis and not a waiver of this entire Consent Order or the subject provision(s) unless otherwise explicitly stated in writing.</w:t>
      </w:r>
    </w:p>
    <w:p w14:paraId="7F8D6C84" w14:textId="77777777" w:rsidR="0043618E" w:rsidRPr="0043618E" w:rsidRDefault="0043618E" w:rsidP="0043618E">
      <w:pPr>
        <w:pStyle w:val="ListParagraph"/>
        <w:rPr>
          <w:rFonts w:eastAsia="MingLiU-ExtB"/>
          <w:sz w:val="22"/>
          <w:szCs w:val="22"/>
        </w:rPr>
      </w:pPr>
    </w:p>
    <w:p w14:paraId="329B014B" w14:textId="66FD398A" w:rsidR="0043618E" w:rsidRDefault="000C590C" w:rsidP="00BF3F1A">
      <w:pPr>
        <w:pStyle w:val="ListParagraph"/>
        <w:numPr>
          <w:ilvl w:val="0"/>
          <w:numId w:val="4"/>
        </w:numPr>
        <w:jc w:val="both"/>
        <w:rPr>
          <w:rFonts w:eastAsia="MingLiU-ExtB"/>
          <w:sz w:val="22"/>
          <w:szCs w:val="22"/>
        </w:rPr>
      </w:pPr>
      <w:r w:rsidRPr="000C590C">
        <w:rPr>
          <w:rFonts w:eastAsia="MingLiU-ExtB"/>
          <w:sz w:val="22"/>
          <w:szCs w:val="22"/>
        </w:rPr>
        <w:t xml:space="preserve">The Parties intend that this Consent Order represents the final expression of the Parties’ intent and agreement between the Parties relating to the subject matter of this Consent Order. The Parties further intend that this Consent Order contains all the terms the Parties agreed to on the subject matter of this Consent Order and intend for this Consent Order to replace </w:t>
      </w:r>
      <w:proofErr w:type="gramStart"/>
      <w:r w:rsidRPr="000C590C">
        <w:rPr>
          <w:rFonts w:eastAsia="MingLiU-ExtB"/>
          <w:sz w:val="22"/>
          <w:szCs w:val="22"/>
        </w:rPr>
        <w:t>all of</w:t>
      </w:r>
      <w:proofErr w:type="gramEnd"/>
      <w:r w:rsidRPr="000C590C">
        <w:rPr>
          <w:rFonts w:eastAsia="MingLiU-ExtB"/>
          <w:sz w:val="22"/>
          <w:szCs w:val="22"/>
        </w:rPr>
        <w:t xml:space="preserve"> the Parties’ previous discussions, understandings, and agreements relating to the subject matter.</w:t>
      </w:r>
    </w:p>
    <w:p w14:paraId="6F305032" w14:textId="77777777" w:rsidR="000C590C" w:rsidRPr="000C590C" w:rsidRDefault="000C590C" w:rsidP="000C590C">
      <w:pPr>
        <w:pStyle w:val="ListParagraph"/>
        <w:rPr>
          <w:rFonts w:eastAsia="MingLiU-ExtB"/>
          <w:sz w:val="22"/>
          <w:szCs w:val="22"/>
        </w:rPr>
      </w:pPr>
    </w:p>
    <w:p w14:paraId="7732B400" w14:textId="512D9729" w:rsidR="000C590C" w:rsidRDefault="000C590C" w:rsidP="00BF3F1A">
      <w:pPr>
        <w:pStyle w:val="ListParagraph"/>
        <w:numPr>
          <w:ilvl w:val="0"/>
          <w:numId w:val="4"/>
        </w:numPr>
        <w:jc w:val="both"/>
        <w:rPr>
          <w:rFonts w:eastAsia="MingLiU-ExtB"/>
          <w:sz w:val="22"/>
          <w:szCs w:val="22"/>
        </w:rPr>
      </w:pPr>
      <w:r w:rsidRPr="000C590C">
        <w:rPr>
          <w:rFonts w:eastAsia="MingLiU-ExtB"/>
          <w:sz w:val="22"/>
          <w:szCs w:val="22"/>
        </w:rPr>
        <w:t>The Parties agree that this Consent Order shall be construed in accordance with laws of Maryland.</w:t>
      </w:r>
    </w:p>
    <w:p w14:paraId="1B183495" w14:textId="77777777" w:rsidR="000C590C" w:rsidRPr="000C590C" w:rsidRDefault="000C590C" w:rsidP="000C590C">
      <w:pPr>
        <w:pStyle w:val="ListParagraph"/>
        <w:rPr>
          <w:rFonts w:eastAsia="MingLiU-ExtB"/>
          <w:sz w:val="22"/>
          <w:szCs w:val="22"/>
        </w:rPr>
      </w:pPr>
    </w:p>
    <w:p w14:paraId="717B1D19" w14:textId="4C334CCF" w:rsidR="000C590C" w:rsidRDefault="000C590C" w:rsidP="00BF3F1A">
      <w:pPr>
        <w:pStyle w:val="ListParagraph"/>
        <w:numPr>
          <w:ilvl w:val="0"/>
          <w:numId w:val="4"/>
        </w:numPr>
        <w:jc w:val="both"/>
        <w:rPr>
          <w:rFonts w:eastAsia="MingLiU-ExtB"/>
          <w:sz w:val="22"/>
          <w:szCs w:val="22"/>
        </w:rPr>
      </w:pPr>
      <w:r w:rsidRPr="000C590C">
        <w:rPr>
          <w:rFonts w:eastAsia="MingLiU-ExtB"/>
          <w:sz w:val="22"/>
          <w:szCs w:val="22"/>
        </w:rPr>
        <w:t>The Respondent agrees that this Consent Order shall constitute a Final Order of the Board and shall be enforceable as such.</w:t>
      </w:r>
    </w:p>
    <w:p w14:paraId="006B57B1" w14:textId="77777777" w:rsidR="000C590C" w:rsidRPr="000C590C" w:rsidRDefault="000C590C" w:rsidP="000C590C">
      <w:pPr>
        <w:pStyle w:val="ListParagraph"/>
        <w:rPr>
          <w:rFonts w:eastAsia="MingLiU-ExtB"/>
          <w:sz w:val="22"/>
          <w:szCs w:val="22"/>
        </w:rPr>
      </w:pPr>
    </w:p>
    <w:p w14:paraId="16A62F25" w14:textId="08F504C3" w:rsidR="000C590C" w:rsidRDefault="000C590C" w:rsidP="00BF3F1A">
      <w:pPr>
        <w:pStyle w:val="ListParagraph"/>
        <w:numPr>
          <w:ilvl w:val="0"/>
          <w:numId w:val="4"/>
        </w:numPr>
        <w:jc w:val="both"/>
        <w:rPr>
          <w:rFonts w:eastAsia="MingLiU-ExtB"/>
          <w:sz w:val="22"/>
          <w:szCs w:val="22"/>
        </w:rPr>
      </w:pPr>
      <w:r w:rsidRPr="000C590C">
        <w:rPr>
          <w:rFonts w:eastAsia="MingLiU-ExtB"/>
          <w:sz w:val="22"/>
          <w:szCs w:val="22"/>
        </w:rPr>
        <w:t>The Respondent agrees that he is knowingly, freely, voluntarily, and intelligently entering this Consent Order after having had the opportunity to consult with a licensed attorney of his choosing and at his expense.</w:t>
      </w:r>
    </w:p>
    <w:p w14:paraId="4066DA62" w14:textId="77777777" w:rsidR="000C590C" w:rsidRPr="000C590C" w:rsidRDefault="000C590C" w:rsidP="000C590C">
      <w:pPr>
        <w:pStyle w:val="ListParagraph"/>
        <w:rPr>
          <w:rFonts w:eastAsia="MingLiU-ExtB"/>
          <w:sz w:val="22"/>
          <w:szCs w:val="22"/>
        </w:rPr>
      </w:pPr>
    </w:p>
    <w:p w14:paraId="5C22DC36" w14:textId="5D0CDD39" w:rsidR="000C590C" w:rsidRDefault="000C590C" w:rsidP="00BF3F1A">
      <w:pPr>
        <w:pStyle w:val="ListParagraph"/>
        <w:numPr>
          <w:ilvl w:val="0"/>
          <w:numId w:val="4"/>
        </w:numPr>
        <w:jc w:val="both"/>
        <w:rPr>
          <w:rFonts w:eastAsia="MingLiU-ExtB"/>
          <w:sz w:val="22"/>
          <w:szCs w:val="22"/>
        </w:rPr>
      </w:pPr>
      <w:r w:rsidRPr="000C590C">
        <w:rPr>
          <w:rFonts w:eastAsia="MingLiU-ExtB"/>
          <w:sz w:val="22"/>
          <w:szCs w:val="22"/>
        </w:rPr>
        <w:t>The Respondent and the Board understand that this Consent Order will serve as the Final Order in complaint number MITP-2025-13 and will be a part of the Respondent’s licensing record maintained by the Board, and the Board’s records and publications will reflect the Consent Order’s terms.</w:t>
      </w:r>
    </w:p>
    <w:p w14:paraId="6C2A53BD" w14:textId="77777777" w:rsidR="0043618E" w:rsidRPr="0043618E" w:rsidRDefault="0043618E" w:rsidP="0043618E">
      <w:pPr>
        <w:jc w:val="both"/>
        <w:rPr>
          <w:rFonts w:eastAsia="MingLiU-ExtB"/>
          <w:sz w:val="22"/>
          <w:szCs w:val="22"/>
        </w:rPr>
      </w:pPr>
    </w:p>
    <w:p w14:paraId="14E02308" w14:textId="107079F1" w:rsidR="007B5751" w:rsidRPr="006A0A4B" w:rsidRDefault="007B5751" w:rsidP="006A0A4B">
      <w:pPr>
        <w:pStyle w:val="Heading2"/>
        <w:jc w:val="center"/>
        <w:rPr>
          <w:rFonts w:ascii="Times New Roman" w:hAnsi="Times New Roman" w:cs="Times New Roman"/>
          <w:b/>
          <w:bCs/>
          <w:color w:val="auto"/>
          <w:sz w:val="24"/>
          <w:szCs w:val="24"/>
        </w:rPr>
      </w:pPr>
    </w:p>
    <w:p w14:paraId="75ACAF23" w14:textId="78E7C1D0" w:rsidR="007B5751" w:rsidRPr="006A0A4B" w:rsidRDefault="007B5751" w:rsidP="006A0A4B">
      <w:pPr>
        <w:pStyle w:val="Heading2"/>
        <w:jc w:val="center"/>
        <w:rPr>
          <w:rFonts w:ascii="Times New Roman" w:hAnsi="Times New Roman" w:cs="Times New Roman"/>
          <w:b/>
          <w:bCs/>
          <w:color w:val="auto"/>
          <w:sz w:val="24"/>
          <w:szCs w:val="24"/>
        </w:rPr>
      </w:pPr>
      <w:r w:rsidRPr="006A0A4B">
        <w:rPr>
          <w:rFonts w:ascii="Times New Roman" w:hAnsi="Times New Roman" w:cs="Times New Roman"/>
          <w:b/>
          <w:bCs/>
          <w:color w:val="auto"/>
          <w:sz w:val="24"/>
          <w:szCs w:val="24"/>
        </w:rPr>
        <w:t xml:space="preserve">BASED ON THESE STIPULATIONS AND AGREEMENTS, IT IS THIS </w:t>
      </w:r>
      <w:r w:rsidR="000C590C" w:rsidRPr="006A0A4B">
        <w:rPr>
          <w:rFonts w:ascii="Times New Roman" w:hAnsi="Times New Roman" w:cs="Times New Roman"/>
          <w:b/>
          <w:bCs/>
          <w:color w:val="auto"/>
          <w:sz w:val="24"/>
          <w:szCs w:val="24"/>
        </w:rPr>
        <w:t>2</w:t>
      </w:r>
      <w:r w:rsidR="00686191" w:rsidRPr="006A0A4B">
        <w:rPr>
          <w:rFonts w:ascii="Times New Roman" w:hAnsi="Times New Roman" w:cs="Times New Roman"/>
          <w:b/>
          <w:bCs/>
          <w:color w:val="auto"/>
          <w:sz w:val="24"/>
          <w:szCs w:val="24"/>
        </w:rPr>
        <w:t>6</w:t>
      </w:r>
      <w:r w:rsidR="00686191" w:rsidRPr="006A0A4B">
        <w:rPr>
          <w:rFonts w:ascii="Times New Roman" w:hAnsi="Times New Roman" w:cs="Times New Roman"/>
          <w:b/>
          <w:bCs/>
          <w:color w:val="auto"/>
          <w:sz w:val="24"/>
          <w:szCs w:val="24"/>
          <w:vertAlign w:val="superscript"/>
        </w:rPr>
        <w:t>th</w:t>
      </w:r>
      <w:r w:rsidR="00686191" w:rsidRPr="006A0A4B">
        <w:rPr>
          <w:rFonts w:ascii="Times New Roman" w:hAnsi="Times New Roman" w:cs="Times New Roman"/>
          <w:b/>
          <w:bCs/>
          <w:color w:val="auto"/>
          <w:sz w:val="24"/>
          <w:szCs w:val="24"/>
        </w:rPr>
        <w:t xml:space="preserve"> DAY OF </w:t>
      </w:r>
      <w:r w:rsidR="000C590C" w:rsidRPr="006A0A4B">
        <w:rPr>
          <w:rFonts w:ascii="Times New Roman" w:hAnsi="Times New Roman" w:cs="Times New Roman"/>
          <w:b/>
          <w:bCs/>
          <w:color w:val="auto"/>
          <w:sz w:val="24"/>
          <w:szCs w:val="24"/>
        </w:rPr>
        <w:t xml:space="preserve">FEBRUARY </w:t>
      </w:r>
      <w:r w:rsidRPr="006A0A4B">
        <w:rPr>
          <w:rFonts w:ascii="Times New Roman" w:hAnsi="Times New Roman" w:cs="Times New Roman"/>
          <w:b/>
          <w:bCs/>
          <w:color w:val="auto"/>
          <w:sz w:val="24"/>
          <w:szCs w:val="24"/>
        </w:rPr>
        <w:t>202</w:t>
      </w:r>
      <w:r w:rsidR="000C590C" w:rsidRPr="006A0A4B">
        <w:rPr>
          <w:rFonts w:ascii="Times New Roman" w:hAnsi="Times New Roman" w:cs="Times New Roman"/>
          <w:b/>
          <w:bCs/>
          <w:color w:val="auto"/>
          <w:sz w:val="24"/>
          <w:szCs w:val="24"/>
        </w:rPr>
        <w:t>6</w:t>
      </w:r>
      <w:r w:rsidRPr="006A0A4B">
        <w:rPr>
          <w:rFonts w:ascii="Times New Roman" w:hAnsi="Times New Roman" w:cs="Times New Roman"/>
          <w:b/>
          <w:bCs/>
          <w:color w:val="auto"/>
          <w:sz w:val="24"/>
          <w:szCs w:val="24"/>
        </w:rPr>
        <w:t>, BY THE STATE BOARD OF INDIVIDUAL TAX PREPARERS:</w:t>
      </w:r>
    </w:p>
    <w:p w14:paraId="7CC7CB9F" w14:textId="77777777" w:rsidR="007B5751" w:rsidRPr="00C63683" w:rsidRDefault="007B5751" w:rsidP="007B5751">
      <w:pPr>
        <w:jc w:val="both"/>
        <w:rPr>
          <w:b/>
        </w:rPr>
      </w:pPr>
    </w:p>
    <w:p w14:paraId="5AEFFE84" w14:textId="42839473" w:rsidR="007B5751" w:rsidRDefault="000C590C" w:rsidP="007B5751">
      <w:pPr>
        <w:ind w:left="540"/>
        <w:jc w:val="both"/>
      </w:pPr>
      <w:r w:rsidRPr="000C590C">
        <w:rPr>
          <w:b/>
          <w:bCs/>
        </w:rPr>
        <w:t>ORDERED</w:t>
      </w:r>
      <w:r w:rsidRPr="000C590C">
        <w:t xml:space="preserve"> that, in </w:t>
      </w:r>
      <w:proofErr w:type="gramStart"/>
      <w:r w:rsidRPr="000C590C">
        <w:t>case number</w:t>
      </w:r>
      <w:proofErr w:type="gramEnd"/>
      <w:r w:rsidRPr="000C590C">
        <w:t xml:space="preserve"> MITP-2025-13, the Respondent, Henry Arias, a registered Maryland individual tax preparer, registration number 01-1830, has violated and is subject to Bus. Occ. &amp; Prof. §§21-309, 21-311(a)(1), 21-311(a)(5), 21-311(a)(6), and COMAR 09.38.02.02; and it is further</w:t>
      </w:r>
    </w:p>
    <w:p w14:paraId="1DE61C53" w14:textId="77777777" w:rsidR="000C590C" w:rsidRDefault="000C590C" w:rsidP="007B5751">
      <w:pPr>
        <w:ind w:left="540"/>
        <w:jc w:val="both"/>
      </w:pPr>
    </w:p>
    <w:p w14:paraId="6F383781" w14:textId="3D9441EA" w:rsidR="000C590C" w:rsidRDefault="000C590C" w:rsidP="007B5751">
      <w:pPr>
        <w:ind w:left="540"/>
        <w:jc w:val="both"/>
      </w:pPr>
      <w:r w:rsidRPr="000C590C">
        <w:rPr>
          <w:b/>
          <w:bCs/>
        </w:rPr>
        <w:t>ORDERED</w:t>
      </w:r>
      <w:r w:rsidRPr="000C590C">
        <w:t xml:space="preserve"> that the Respondent shall pay a civil penalty to the Board in the amount of $250.00 in accordance with the provisions of paragraph 10 of this Consent Order; and it is furthe</w:t>
      </w:r>
      <w:r>
        <w:t>r</w:t>
      </w:r>
    </w:p>
    <w:p w14:paraId="61684786" w14:textId="77777777" w:rsidR="000C590C" w:rsidRDefault="000C590C" w:rsidP="007B5751">
      <w:pPr>
        <w:ind w:left="540"/>
        <w:jc w:val="both"/>
      </w:pPr>
    </w:p>
    <w:p w14:paraId="1BF621DC" w14:textId="77777777" w:rsidR="000C590C" w:rsidRDefault="000C590C" w:rsidP="007B5751">
      <w:pPr>
        <w:ind w:left="540"/>
        <w:jc w:val="both"/>
      </w:pPr>
      <w:r w:rsidRPr="000C590C">
        <w:rPr>
          <w:b/>
          <w:bCs/>
        </w:rPr>
        <w:t>ORDERED</w:t>
      </w:r>
      <w:r w:rsidRPr="000C590C">
        <w:t xml:space="preserve"> that, unless otherwise specified in this Consent Order, each provision herein shall remain in effect and enforceable as herein agreed unless the Board in writing stays, modifies, terminates, or suspends it; and it is further </w:t>
      </w:r>
    </w:p>
    <w:p w14:paraId="0F8096E3" w14:textId="77777777" w:rsidR="000C590C" w:rsidRDefault="000C590C" w:rsidP="007B5751">
      <w:pPr>
        <w:ind w:left="540"/>
        <w:jc w:val="both"/>
      </w:pPr>
    </w:p>
    <w:p w14:paraId="72516A54" w14:textId="77777777" w:rsidR="000C590C" w:rsidRDefault="000C590C" w:rsidP="007B5751">
      <w:pPr>
        <w:ind w:left="540"/>
        <w:jc w:val="both"/>
      </w:pPr>
      <w:r w:rsidRPr="000C590C">
        <w:rPr>
          <w:b/>
          <w:bCs/>
        </w:rPr>
        <w:t xml:space="preserve">ORDERED </w:t>
      </w:r>
      <w:r w:rsidRPr="000C590C">
        <w:t xml:space="preserve">that this document shall constitute a Final Order of the Board, and the Board may consider this Consent Order and the facts set forth herein in connection with, and in deciding, any subsequent action or proceeding before the Board, and that this Consent Order may, if relevant, be admitted into evidence in any matter before the Board, its designee, and/or any court for purposes of enforcing this Settlement Agreement and Consent Order or other action by the Commission; and it is further </w:t>
      </w:r>
    </w:p>
    <w:p w14:paraId="301A5CDE" w14:textId="77777777" w:rsidR="000C590C" w:rsidRDefault="000C590C" w:rsidP="007B5751">
      <w:pPr>
        <w:ind w:left="540"/>
        <w:jc w:val="both"/>
      </w:pPr>
    </w:p>
    <w:p w14:paraId="4CFD4F3A" w14:textId="38690610" w:rsidR="000C590C" w:rsidRPr="00C63683" w:rsidRDefault="000C590C" w:rsidP="007B5751">
      <w:pPr>
        <w:ind w:left="540"/>
        <w:jc w:val="both"/>
      </w:pPr>
      <w:r w:rsidRPr="000C590C">
        <w:rPr>
          <w:b/>
          <w:bCs/>
        </w:rPr>
        <w:t>ORDERED</w:t>
      </w:r>
      <w:r w:rsidRPr="000C590C">
        <w:t xml:space="preserve"> that the Board’s records and publications shall reflect the discipline against the Respondent in case number MITP-2025-13.</w:t>
      </w:r>
    </w:p>
    <w:p w14:paraId="7834BA20" w14:textId="22647019" w:rsidR="007B5751" w:rsidRDefault="007B5751" w:rsidP="007B5751">
      <w:pPr>
        <w:ind w:firstLine="720"/>
        <w:jc w:val="both"/>
      </w:pPr>
      <w:r w:rsidRPr="00C63683">
        <w:tab/>
      </w:r>
      <w:r w:rsidRPr="00C63683">
        <w:tab/>
      </w:r>
      <w:r w:rsidRPr="00C63683">
        <w:tab/>
      </w:r>
      <w:r w:rsidRPr="00C63683">
        <w:tab/>
      </w:r>
    </w:p>
    <w:p w14:paraId="19D546FA" w14:textId="77777777" w:rsidR="007B5751" w:rsidRPr="00C63683" w:rsidRDefault="007B5751" w:rsidP="007B5751">
      <w:pPr>
        <w:ind w:left="540"/>
        <w:jc w:val="both"/>
      </w:pPr>
    </w:p>
    <w:p w14:paraId="2610A749" w14:textId="417EC148" w:rsidR="007B5751" w:rsidRPr="0024410E" w:rsidRDefault="007B5751" w:rsidP="007B5751">
      <w:pPr>
        <w:ind w:left="5040"/>
        <w:jc w:val="both"/>
        <w:rPr>
          <w:b/>
        </w:rPr>
      </w:pPr>
      <w:r>
        <w:rPr>
          <w:b/>
        </w:rPr>
        <w:t xml:space="preserve">MARYLAND BOARD </w:t>
      </w:r>
      <w:r w:rsidR="00E42742">
        <w:rPr>
          <w:b/>
        </w:rPr>
        <w:t>OF</w:t>
      </w:r>
      <w:r>
        <w:rPr>
          <w:b/>
        </w:rPr>
        <w:t xml:space="preserve"> INDIVIDUAL TAX PREPARERS</w:t>
      </w:r>
    </w:p>
    <w:p w14:paraId="67EE536A" w14:textId="77777777" w:rsidR="007B5751" w:rsidRDefault="007B5751" w:rsidP="007B5751">
      <w:pPr>
        <w:jc w:val="both"/>
      </w:pPr>
      <w:r>
        <w:tab/>
      </w:r>
      <w:r>
        <w:tab/>
      </w:r>
      <w:r>
        <w:tab/>
      </w:r>
      <w:r>
        <w:tab/>
      </w:r>
      <w:r>
        <w:tab/>
      </w:r>
      <w:r>
        <w:tab/>
      </w:r>
      <w:r>
        <w:tab/>
        <w:t>By:</w:t>
      </w:r>
    </w:p>
    <w:p w14:paraId="3D02F6AE" w14:textId="69C28D00" w:rsidR="007B5751" w:rsidRPr="00C63683" w:rsidRDefault="000C590C" w:rsidP="007B5751">
      <w:pPr>
        <w:jc w:val="both"/>
      </w:pPr>
      <w:r>
        <w:tab/>
      </w:r>
      <w:r>
        <w:tab/>
      </w:r>
      <w:r>
        <w:tab/>
      </w:r>
      <w:r>
        <w:tab/>
      </w:r>
      <w:r>
        <w:tab/>
      </w:r>
      <w:r>
        <w:tab/>
      </w:r>
      <w:r>
        <w:tab/>
        <w:t>Signature on file</w:t>
      </w:r>
    </w:p>
    <w:p w14:paraId="35BE3DA4" w14:textId="77777777" w:rsidR="007B5751" w:rsidRPr="00C63683" w:rsidRDefault="007B5751" w:rsidP="007B5751">
      <w:pPr>
        <w:jc w:val="both"/>
      </w:pPr>
      <w:r w:rsidRPr="00C63683">
        <w:tab/>
      </w:r>
      <w:r w:rsidRPr="00C63683">
        <w:tab/>
      </w:r>
      <w:r w:rsidRPr="00C63683">
        <w:tab/>
      </w:r>
      <w:r w:rsidRPr="00C63683">
        <w:tab/>
      </w:r>
      <w:r w:rsidRPr="00C63683">
        <w:tab/>
      </w:r>
      <w:r>
        <w:tab/>
      </w:r>
      <w:r>
        <w:tab/>
      </w:r>
      <w:r w:rsidRPr="00C63683">
        <w:t>___________________________________</w:t>
      </w:r>
    </w:p>
    <w:p w14:paraId="5E4F7A8B" w14:textId="780E4E1F" w:rsidR="007B5751" w:rsidRPr="00C63683" w:rsidRDefault="007B5751" w:rsidP="007B5751">
      <w:pPr>
        <w:jc w:val="both"/>
      </w:pPr>
      <w:r>
        <w:tab/>
      </w:r>
      <w:r>
        <w:tab/>
      </w:r>
      <w:r>
        <w:tab/>
      </w:r>
      <w:r>
        <w:tab/>
      </w:r>
      <w:r w:rsidRPr="00C63683">
        <w:rPr>
          <w:b/>
        </w:rPr>
        <w:tab/>
      </w:r>
      <w:r w:rsidRPr="00C63683">
        <w:rPr>
          <w:b/>
        </w:rPr>
        <w:tab/>
      </w:r>
      <w:r w:rsidRPr="00C63683">
        <w:rPr>
          <w:b/>
        </w:rPr>
        <w:tab/>
      </w:r>
      <w:r w:rsidR="000C590C">
        <w:t>Nayo Carter-Gray</w:t>
      </w:r>
    </w:p>
    <w:p w14:paraId="2A1D08A7" w14:textId="77777777" w:rsidR="007B5751" w:rsidRDefault="007B5751" w:rsidP="007B5751">
      <w:pPr>
        <w:jc w:val="both"/>
        <w:rPr>
          <w:b/>
        </w:rPr>
      </w:pPr>
      <w:r>
        <w:rPr>
          <w:b/>
        </w:rPr>
        <w:t>AGREED:</w:t>
      </w:r>
    </w:p>
    <w:p w14:paraId="36E1C68F" w14:textId="77777777" w:rsidR="007B5751" w:rsidRPr="0060245E" w:rsidRDefault="007B5751" w:rsidP="007B5751">
      <w:pPr>
        <w:jc w:val="both"/>
        <w:rPr>
          <w:b/>
        </w:rPr>
      </w:pPr>
    </w:p>
    <w:p w14:paraId="491EB39E" w14:textId="77777777" w:rsidR="000C590C" w:rsidRDefault="000C590C" w:rsidP="000C590C">
      <w:pPr>
        <w:ind w:left="5040" w:hanging="5040"/>
        <w:jc w:val="both"/>
      </w:pPr>
      <w:r w:rsidRPr="000C590C">
        <w:t>2/25/2026</w:t>
      </w:r>
      <w:r w:rsidR="007B5751" w:rsidRPr="000C590C">
        <w:tab/>
      </w:r>
      <w:r w:rsidR="007B5751" w:rsidRPr="000C590C">
        <w:tab/>
      </w:r>
      <w:r w:rsidR="007B5751" w:rsidRPr="000C590C">
        <w:tab/>
      </w:r>
      <w:r w:rsidR="007B5751" w:rsidRPr="000C590C">
        <w:tab/>
      </w:r>
      <w:r w:rsidR="007B5751" w:rsidRPr="000C590C">
        <w:tab/>
      </w:r>
      <w:r w:rsidR="007B5751" w:rsidRPr="000C590C">
        <w:tab/>
      </w:r>
      <w:r>
        <w:t>Signature on file</w:t>
      </w:r>
      <w:r>
        <w:tab/>
      </w:r>
      <w:r>
        <w:tab/>
      </w:r>
      <w:r>
        <w:tab/>
      </w:r>
      <w:r>
        <w:tab/>
      </w:r>
      <w:r>
        <w:tab/>
      </w:r>
      <w:r>
        <w:tab/>
        <w:t xml:space="preserve">          __________________________________</w:t>
      </w:r>
    </w:p>
    <w:p w14:paraId="0DFA33CA" w14:textId="7C89AF80" w:rsidR="007B5751" w:rsidRPr="000C590C" w:rsidRDefault="007B5751" w:rsidP="000C590C">
      <w:pPr>
        <w:ind w:left="5040" w:hanging="5040"/>
        <w:jc w:val="both"/>
        <w:rPr>
          <w:b/>
        </w:rPr>
      </w:pPr>
      <w:r w:rsidRPr="0060245E">
        <w:t>Date</w:t>
      </w:r>
      <w:r>
        <w:tab/>
      </w:r>
      <w:r>
        <w:tab/>
      </w:r>
      <w:r>
        <w:tab/>
      </w:r>
      <w:r w:rsidR="000254B2">
        <w:tab/>
      </w:r>
      <w:r w:rsidR="000254B2">
        <w:tab/>
      </w:r>
      <w:r w:rsidR="000254B2">
        <w:tab/>
      </w:r>
      <w:r w:rsidR="000254B2">
        <w:tab/>
      </w:r>
      <w:r w:rsidR="000C590C">
        <w:t>Henry Arias</w:t>
      </w:r>
      <w:r>
        <w:t>, Respondent</w:t>
      </w:r>
    </w:p>
    <w:p w14:paraId="52A190DE" w14:textId="77777777" w:rsidR="007B5751" w:rsidRPr="00C63683" w:rsidRDefault="007B5751" w:rsidP="007B5751">
      <w:pPr>
        <w:jc w:val="both"/>
        <w:rPr>
          <w:b/>
        </w:rPr>
      </w:pPr>
    </w:p>
    <w:p w14:paraId="1E3D3DC6" w14:textId="77777777" w:rsidR="007B5751" w:rsidRDefault="0048757C" w:rsidP="008B6CF9">
      <w:pPr>
        <w:pStyle w:val="Outline0011"/>
        <w:widowControl/>
        <w:numPr>
          <w:ilvl w:val="0"/>
          <w:numId w:val="0"/>
        </w:numPr>
        <w:spacing w:line="480" w:lineRule="auto"/>
        <w:jc w:val="both"/>
        <w:rPr>
          <w:rFonts w:eastAsia="MingLiU-ExtB"/>
        </w:rPr>
      </w:pPr>
      <w:r>
        <w:rPr>
          <w:rFonts w:eastAsia="MingLiU-ExtB"/>
        </w:rPr>
        <w:tab/>
      </w:r>
    </w:p>
    <w:p w14:paraId="3C11BFEF" w14:textId="77777777" w:rsidR="007B5751" w:rsidRDefault="007B5751" w:rsidP="008B6CF9">
      <w:pPr>
        <w:pStyle w:val="Outline0011"/>
        <w:widowControl/>
        <w:numPr>
          <w:ilvl w:val="0"/>
          <w:numId w:val="0"/>
        </w:numPr>
        <w:spacing w:line="480" w:lineRule="auto"/>
        <w:jc w:val="both"/>
        <w:rPr>
          <w:rFonts w:eastAsia="MingLiU-ExtB"/>
        </w:rPr>
      </w:pPr>
    </w:p>
    <w:p w14:paraId="7A91BDF6" w14:textId="77777777" w:rsidR="007B5751" w:rsidRDefault="007B5751" w:rsidP="008B6CF9">
      <w:pPr>
        <w:pStyle w:val="Outline0011"/>
        <w:widowControl/>
        <w:numPr>
          <w:ilvl w:val="0"/>
          <w:numId w:val="0"/>
        </w:numPr>
        <w:spacing w:line="480" w:lineRule="auto"/>
        <w:jc w:val="both"/>
        <w:rPr>
          <w:rFonts w:eastAsia="MingLiU-ExtB"/>
        </w:rPr>
      </w:pPr>
    </w:p>
    <w:p w14:paraId="17C34468" w14:textId="7577B8CC" w:rsidR="000935BD" w:rsidRPr="00C34778" w:rsidRDefault="000935BD" w:rsidP="00C347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MingLiU-ExtB"/>
        </w:rPr>
      </w:pPr>
    </w:p>
    <w:sectPr w:rsidR="000935BD" w:rsidRPr="00C34778" w:rsidSect="007C34F5">
      <w:headerReference w:type="default" r:id="rId8"/>
      <w:footerReference w:type="default" r:id="rId9"/>
      <w:type w:val="continuous"/>
      <w:pgSz w:w="12240" w:h="15840"/>
      <w:pgMar w:top="1440" w:right="1440" w:bottom="108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1A18" w14:textId="77777777" w:rsidR="00D202E2" w:rsidRDefault="00D202E2" w:rsidP="000935BD">
      <w:r>
        <w:separator/>
      </w:r>
    </w:p>
  </w:endnote>
  <w:endnote w:type="continuationSeparator" w:id="0">
    <w:p w14:paraId="7F360929" w14:textId="77777777" w:rsidR="00D202E2" w:rsidRDefault="00D202E2" w:rsidP="0009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548278"/>
      <w:docPartObj>
        <w:docPartGallery w:val="Page Numbers (Bottom of Page)"/>
        <w:docPartUnique/>
      </w:docPartObj>
    </w:sdtPr>
    <w:sdtContent>
      <w:sdt>
        <w:sdtPr>
          <w:id w:val="1728636285"/>
          <w:docPartObj>
            <w:docPartGallery w:val="Page Numbers (Top of Page)"/>
            <w:docPartUnique/>
          </w:docPartObj>
        </w:sdtPr>
        <w:sdtContent>
          <w:p w14:paraId="7433768D" w14:textId="67A56906" w:rsidR="00545AA9" w:rsidRPr="00583FBC" w:rsidRDefault="00545AA9" w:rsidP="00E4756E">
            <w:pPr>
              <w:pStyle w:val="Footer"/>
              <w:jc w:val="center"/>
            </w:pPr>
            <w:r w:rsidRPr="00583FBC">
              <w:t xml:space="preserve"> </w:t>
            </w:r>
            <w:r w:rsidRPr="00583FBC">
              <w:fldChar w:fldCharType="begin"/>
            </w:r>
            <w:r w:rsidRPr="00583FBC">
              <w:instrText xml:space="preserve"> PAGE </w:instrText>
            </w:r>
            <w:r w:rsidRPr="00583FBC">
              <w:fldChar w:fldCharType="separate"/>
            </w:r>
            <w:r w:rsidR="00572C61">
              <w:rPr>
                <w:noProof/>
              </w:rPr>
              <w:t>5</w:t>
            </w:r>
            <w:r w:rsidRPr="00583FBC">
              <w:fldChar w:fldCharType="end"/>
            </w:r>
            <w:r w:rsidRPr="00583FBC">
              <w:t xml:space="preserve"> of </w:t>
            </w:r>
            <w:fldSimple w:instr=" NUMPAGES  ">
              <w:r w:rsidR="00572C61">
                <w:rPr>
                  <w:noProof/>
                </w:rPr>
                <w:t>5</w:t>
              </w:r>
            </w:fldSimple>
          </w:p>
        </w:sdtContent>
      </w:sdt>
    </w:sdtContent>
  </w:sdt>
  <w:p w14:paraId="2FF79605" w14:textId="77777777" w:rsidR="000935BD" w:rsidRDefault="000935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DE01" w14:textId="77777777" w:rsidR="00D202E2" w:rsidRDefault="00D202E2" w:rsidP="000935BD">
      <w:r>
        <w:separator/>
      </w:r>
    </w:p>
  </w:footnote>
  <w:footnote w:type="continuationSeparator" w:id="0">
    <w:p w14:paraId="29EB40D9" w14:textId="77777777" w:rsidR="00D202E2" w:rsidRDefault="00D202E2" w:rsidP="0009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36A" w14:textId="4B15694B" w:rsidR="00596BBA" w:rsidRDefault="00596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C4E085C"/>
    <w:name w:val="1"/>
    <w:lvl w:ilvl="0">
      <w:start w:val="1"/>
      <w:numFmt w:val="decimal"/>
      <w:pStyle w:val="Outline00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0F111A5"/>
    <w:multiLevelType w:val="hybridMultilevel"/>
    <w:tmpl w:val="A3101BE8"/>
    <w:lvl w:ilvl="0" w:tplc="6C160F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C375E"/>
    <w:multiLevelType w:val="hybridMultilevel"/>
    <w:tmpl w:val="A22E672A"/>
    <w:lvl w:ilvl="0" w:tplc="10FAB306">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2271A"/>
    <w:multiLevelType w:val="hybridMultilevel"/>
    <w:tmpl w:val="3016463E"/>
    <w:lvl w:ilvl="0" w:tplc="E490FD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40C23"/>
    <w:multiLevelType w:val="hybridMultilevel"/>
    <w:tmpl w:val="9B5CA3B4"/>
    <w:lvl w:ilvl="0" w:tplc="BFB4ECFA">
      <w:start w:val="1"/>
      <w:numFmt w:val="decimal"/>
      <w:lvlText w:val="%1."/>
      <w:lvlJc w:val="left"/>
      <w:pPr>
        <w:ind w:left="720" w:hanging="720"/>
      </w:pPr>
      <w:rPr>
        <w:rFonts w:ascii="Times New Roman" w:eastAsia="Times New Roman" w:hAnsi="Times New Roman" w:cs="Times New Roman" w:hint="default"/>
        <w:b w:val="0"/>
        <w:i w:val="0"/>
      </w:rPr>
    </w:lvl>
    <w:lvl w:ilvl="1" w:tplc="5AEED5E8">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644F4B"/>
    <w:multiLevelType w:val="hybridMultilevel"/>
    <w:tmpl w:val="3DD0D1A0"/>
    <w:lvl w:ilvl="0" w:tplc="35E88A4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972131713">
    <w:abstractNumId w:val="0"/>
    <w:lvlOverride w:ilvl="0">
      <w:startOverride w:val="1"/>
      <w:lvl w:ilvl="0">
        <w:start w:val="1"/>
        <w:numFmt w:val="decimal"/>
        <w:pStyle w:val="Outline0011"/>
        <w:lvlText w:val="%1."/>
        <w:lvlJc w:val="left"/>
        <w:rPr>
          <w:i w:val="0"/>
          <w:iCs w:val="0"/>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258026813">
    <w:abstractNumId w:val="3"/>
  </w:num>
  <w:num w:numId="3" w16cid:durableId="508756646">
    <w:abstractNumId w:val="1"/>
  </w:num>
  <w:num w:numId="4" w16cid:durableId="822546149">
    <w:abstractNumId w:val="2"/>
  </w:num>
  <w:num w:numId="5" w16cid:durableId="924997975">
    <w:abstractNumId w:val="4"/>
  </w:num>
  <w:num w:numId="6" w16cid:durableId="519662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BD"/>
    <w:rsid w:val="00016E69"/>
    <w:rsid w:val="000254B2"/>
    <w:rsid w:val="000344F7"/>
    <w:rsid w:val="000662D6"/>
    <w:rsid w:val="00076B31"/>
    <w:rsid w:val="00077FBD"/>
    <w:rsid w:val="000837DA"/>
    <w:rsid w:val="000854E5"/>
    <w:rsid w:val="00086546"/>
    <w:rsid w:val="000935BD"/>
    <w:rsid w:val="000A0F9A"/>
    <w:rsid w:val="000A2893"/>
    <w:rsid w:val="000C590C"/>
    <w:rsid w:val="000F4A80"/>
    <w:rsid w:val="0012602A"/>
    <w:rsid w:val="001327C5"/>
    <w:rsid w:val="00132DD7"/>
    <w:rsid w:val="001543AA"/>
    <w:rsid w:val="00173C15"/>
    <w:rsid w:val="001B1ED0"/>
    <w:rsid w:val="001C39A6"/>
    <w:rsid w:val="001D0230"/>
    <w:rsid w:val="001E7DE7"/>
    <w:rsid w:val="001F0627"/>
    <w:rsid w:val="001F0C10"/>
    <w:rsid w:val="00231247"/>
    <w:rsid w:val="00264D8E"/>
    <w:rsid w:val="0029530E"/>
    <w:rsid w:val="002A173C"/>
    <w:rsid w:val="002A56A6"/>
    <w:rsid w:val="002D0181"/>
    <w:rsid w:val="002E0FB4"/>
    <w:rsid w:val="002F2800"/>
    <w:rsid w:val="002F42DB"/>
    <w:rsid w:val="002F5F47"/>
    <w:rsid w:val="002F5F99"/>
    <w:rsid w:val="00322616"/>
    <w:rsid w:val="00394E63"/>
    <w:rsid w:val="00396C6E"/>
    <w:rsid w:val="003B0192"/>
    <w:rsid w:val="003E65F7"/>
    <w:rsid w:val="00412D7D"/>
    <w:rsid w:val="0043618E"/>
    <w:rsid w:val="0048757C"/>
    <w:rsid w:val="0049154A"/>
    <w:rsid w:val="00495652"/>
    <w:rsid w:val="00496145"/>
    <w:rsid w:val="004D308C"/>
    <w:rsid w:val="00525DB4"/>
    <w:rsid w:val="00533842"/>
    <w:rsid w:val="00542D92"/>
    <w:rsid w:val="00545AA9"/>
    <w:rsid w:val="00572C61"/>
    <w:rsid w:val="00583FBC"/>
    <w:rsid w:val="005901F2"/>
    <w:rsid w:val="00596BBA"/>
    <w:rsid w:val="005A1E11"/>
    <w:rsid w:val="005A56F0"/>
    <w:rsid w:val="005B7091"/>
    <w:rsid w:val="005C591F"/>
    <w:rsid w:val="00624606"/>
    <w:rsid w:val="00686191"/>
    <w:rsid w:val="006A0A4B"/>
    <w:rsid w:val="006F0AD1"/>
    <w:rsid w:val="007108BF"/>
    <w:rsid w:val="007270D7"/>
    <w:rsid w:val="00770000"/>
    <w:rsid w:val="007B1F6E"/>
    <w:rsid w:val="007B5751"/>
    <w:rsid w:val="007C34F5"/>
    <w:rsid w:val="007E6EDD"/>
    <w:rsid w:val="00810CAE"/>
    <w:rsid w:val="008320B8"/>
    <w:rsid w:val="00871B63"/>
    <w:rsid w:val="008A4003"/>
    <w:rsid w:val="008B6CF9"/>
    <w:rsid w:val="008C120A"/>
    <w:rsid w:val="008C4EC7"/>
    <w:rsid w:val="008F33D5"/>
    <w:rsid w:val="00906FF2"/>
    <w:rsid w:val="009078EE"/>
    <w:rsid w:val="00925757"/>
    <w:rsid w:val="009535FE"/>
    <w:rsid w:val="0096661A"/>
    <w:rsid w:val="00971073"/>
    <w:rsid w:val="00975444"/>
    <w:rsid w:val="009E6109"/>
    <w:rsid w:val="00A26CC8"/>
    <w:rsid w:val="00A32632"/>
    <w:rsid w:val="00A44BE1"/>
    <w:rsid w:val="00A55334"/>
    <w:rsid w:val="00A65F49"/>
    <w:rsid w:val="00A920C3"/>
    <w:rsid w:val="00AF5113"/>
    <w:rsid w:val="00B139B9"/>
    <w:rsid w:val="00B31EF5"/>
    <w:rsid w:val="00B34932"/>
    <w:rsid w:val="00B43AA8"/>
    <w:rsid w:val="00BD2B8B"/>
    <w:rsid w:val="00BD6421"/>
    <w:rsid w:val="00BF3F1A"/>
    <w:rsid w:val="00C108F5"/>
    <w:rsid w:val="00C1756E"/>
    <w:rsid w:val="00C17DD3"/>
    <w:rsid w:val="00C34778"/>
    <w:rsid w:val="00C90247"/>
    <w:rsid w:val="00C97E9D"/>
    <w:rsid w:val="00CC3496"/>
    <w:rsid w:val="00CE33E7"/>
    <w:rsid w:val="00CE4B31"/>
    <w:rsid w:val="00D202E2"/>
    <w:rsid w:val="00D33E3B"/>
    <w:rsid w:val="00D579A6"/>
    <w:rsid w:val="00D6623F"/>
    <w:rsid w:val="00D81455"/>
    <w:rsid w:val="00E215F8"/>
    <w:rsid w:val="00E370DA"/>
    <w:rsid w:val="00E42742"/>
    <w:rsid w:val="00E4756E"/>
    <w:rsid w:val="00E47606"/>
    <w:rsid w:val="00E873E0"/>
    <w:rsid w:val="00E91451"/>
    <w:rsid w:val="00EA20FC"/>
    <w:rsid w:val="00EB045D"/>
    <w:rsid w:val="00EE1C79"/>
    <w:rsid w:val="00F11322"/>
    <w:rsid w:val="00F264B9"/>
    <w:rsid w:val="00F30CA9"/>
    <w:rsid w:val="00F450B3"/>
    <w:rsid w:val="00F962A1"/>
    <w:rsid w:val="00FB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07855"/>
  <w14:defaultImageDpi w14:val="96"/>
  <w15:docId w15:val="{0267F450-3DFA-43BD-9983-5F88F420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style>
  <w:style w:type="paragraph" w:styleId="Heading1">
    <w:name w:val="heading 1"/>
    <w:basedOn w:val="Normal"/>
    <w:next w:val="Normal"/>
    <w:link w:val="Heading1Char"/>
    <w:uiPriority w:val="9"/>
    <w:qFormat/>
    <w:rsid w:val="006A0A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0A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Outline0011">
    <w:name w:val="Outline001_1"/>
    <w:basedOn w:val="Normal"/>
    <w:uiPriority w:val="99"/>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customStyle="1" w:styleId="ListParagra">
    <w:name w:val="List Paragra"/>
    <w:basedOn w:val="Normal"/>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Segoe Print" w:hAnsi="Segoe Print" w:cs="Segoe Print"/>
    </w:rPr>
  </w:style>
  <w:style w:type="paragraph" w:styleId="Header">
    <w:name w:val="header"/>
    <w:basedOn w:val="Normal"/>
    <w:link w:val="HeaderChar"/>
    <w:uiPriority w:val="99"/>
    <w:unhideWhenUsed/>
    <w:rsid w:val="001B1ED0"/>
    <w:pPr>
      <w:tabs>
        <w:tab w:val="center" w:pos="4680"/>
        <w:tab w:val="right" w:pos="9360"/>
      </w:tabs>
    </w:pPr>
  </w:style>
  <w:style w:type="character" w:customStyle="1" w:styleId="HeaderChar">
    <w:name w:val="Header Char"/>
    <w:basedOn w:val="DefaultParagraphFont"/>
    <w:link w:val="Header"/>
    <w:uiPriority w:val="99"/>
    <w:rsid w:val="001B1ED0"/>
    <w:rPr>
      <w:rFonts w:ascii="Times New Roman" w:hAnsi="Times New Roman" w:cs="Times New Roman"/>
      <w:sz w:val="24"/>
      <w:szCs w:val="24"/>
    </w:rPr>
  </w:style>
  <w:style w:type="paragraph" w:styleId="Footer">
    <w:name w:val="footer"/>
    <w:basedOn w:val="Normal"/>
    <w:link w:val="FooterChar"/>
    <w:uiPriority w:val="99"/>
    <w:unhideWhenUsed/>
    <w:rsid w:val="001B1ED0"/>
    <w:pPr>
      <w:tabs>
        <w:tab w:val="center" w:pos="4680"/>
        <w:tab w:val="right" w:pos="9360"/>
      </w:tabs>
    </w:pPr>
  </w:style>
  <w:style w:type="character" w:customStyle="1" w:styleId="FooterChar">
    <w:name w:val="Footer Char"/>
    <w:basedOn w:val="DefaultParagraphFont"/>
    <w:link w:val="Footer"/>
    <w:uiPriority w:val="99"/>
    <w:rsid w:val="001B1ED0"/>
    <w:rPr>
      <w:rFonts w:ascii="Times New Roman" w:hAnsi="Times New Roman" w:cs="Times New Roman"/>
      <w:sz w:val="24"/>
      <w:szCs w:val="24"/>
    </w:rPr>
  </w:style>
  <w:style w:type="paragraph" w:styleId="ListParagraph">
    <w:name w:val="List Paragraph"/>
    <w:basedOn w:val="Normal"/>
    <w:uiPriority w:val="34"/>
    <w:qFormat/>
    <w:rsid w:val="00A32632"/>
    <w:pPr>
      <w:ind w:left="720"/>
      <w:contextualSpacing/>
    </w:pPr>
  </w:style>
  <w:style w:type="character" w:customStyle="1" w:styleId="Heading1Char">
    <w:name w:val="Heading 1 Char"/>
    <w:basedOn w:val="DefaultParagraphFont"/>
    <w:link w:val="Heading1"/>
    <w:uiPriority w:val="9"/>
    <w:rsid w:val="006A0A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0A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1060">
      <w:bodyDiv w:val="1"/>
      <w:marLeft w:val="0"/>
      <w:marRight w:val="0"/>
      <w:marTop w:val="0"/>
      <w:marBottom w:val="0"/>
      <w:divBdr>
        <w:top w:val="none" w:sz="0" w:space="0" w:color="auto"/>
        <w:left w:val="none" w:sz="0" w:space="0" w:color="auto"/>
        <w:bottom w:val="none" w:sz="0" w:space="0" w:color="auto"/>
        <w:right w:val="none" w:sz="0" w:space="0" w:color="auto"/>
      </w:divBdr>
    </w:div>
    <w:div w:id="999698150">
      <w:bodyDiv w:val="1"/>
      <w:marLeft w:val="0"/>
      <w:marRight w:val="0"/>
      <w:marTop w:val="0"/>
      <w:marBottom w:val="0"/>
      <w:divBdr>
        <w:top w:val="none" w:sz="0" w:space="0" w:color="auto"/>
        <w:left w:val="none" w:sz="0" w:space="0" w:color="auto"/>
        <w:bottom w:val="none" w:sz="0" w:space="0" w:color="auto"/>
        <w:right w:val="none" w:sz="0" w:space="0" w:color="auto"/>
      </w:divBdr>
      <w:divsChild>
        <w:div w:id="1019546635">
          <w:marLeft w:val="480"/>
          <w:marRight w:val="0"/>
          <w:marTop w:val="0"/>
          <w:marBottom w:val="0"/>
          <w:divBdr>
            <w:top w:val="none" w:sz="0" w:space="0" w:color="auto"/>
            <w:left w:val="none" w:sz="0" w:space="0" w:color="auto"/>
            <w:bottom w:val="none" w:sz="0" w:space="0" w:color="auto"/>
            <w:right w:val="none" w:sz="0" w:space="0" w:color="auto"/>
          </w:divBdr>
        </w:div>
        <w:div w:id="495923695">
          <w:marLeft w:val="480"/>
          <w:marRight w:val="0"/>
          <w:marTop w:val="0"/>
          <w:marBottom w:val="0"/>
          <w:divBdr>
            <w:top w:val="none" w:sz="0" w:space="0" w:color="auto"/>
            <w:left w:val="none" w:sz="0" w:space="0" w:color="auto"/>
            <w:bottom w:val="none" w:sz="0" w:space="0" w:color="auto"/>
            <w:right w:val="none" w:sz="0" w:space="0" w:color="auto"/>
          </w:divBdr>
        </w:div>
      </w:divsChild>
    </w:div>
    <w:div w:id="1390685999">
      <w:bodyDiv w:val="1"/>
      <w:marLeft w:val="0"/>
      <w:marRight w:val="0"/>
      <w:marTop w:val="0"/>
      <w:marBottom w:val="0"/>
      <w:divBdr>
        <w:top w:val="none" w:sz="0" w:space="0" w:color="auto"/>
        <w:left w:val="none" w:sz="0" w:space="0" w:color="auto"/>
        <w:bottom w:val="none" w:sz="0" w:space="0" w:color="auto"/>
        <w:right w:val="none" w:sz="0" w:space="0" w:color="auto"/>
      </w:divBdr>
      <w:divsChild>
        <w:div w:id="597951693">
          <w:marLeft w:val="480"/>
          <w:marRight w:val="0"/>
          <w:marTop w:val="0"/>
          <w:marBottom w:val="0"/>
          <w:divBdr>
            <w:top w:val="none" w:sz="0" w:space="0" w:color="auto"/>
            <w:left w:val="none" w:sz="0" w:space="0" w:color="auto"/>
            <w:bottom w:val="none" w:sz="0" w:space="0" w:color="auto"/>
            <w:right w:val="none" w:sz="0" w:space="0" w:color="auto"/>
          </w:divBdr>
        </w:div>
        <w:div w:id="1176503290">
          <w:marLeft w:val="480"/>
          <w:marRight w:val="0"/>
          <w:marTop w:val="0"/>
          <w:marBottom w:val="0"/>
          <w:divBdr>
            <w:top w:val="none" w:sz="0" w:space="0" w:color="auto"/>
            <w:left w:val="none" w:sz="0" w:space="0" w:color="auto"/>
            <w:bottom w:val="none" w:sz="0" w:space="0" w:color="auto"/>
            <w:right w:val="none" w:sz="0" w:space="0" w:color="auto"/>
          </w:divBdr>
        </w:div>
        <w:div w:id="696010074">
          <w:marLeft w:val="480"/>
          <w:marRight w:val="0"/>
          <w:marTop w:val="0"/>
          <w:marBottom w:val="0"/>
          <w:divBdr>
            <w:top w:val="none" w:sz="0" w:space="0" w:color="auto"/>
            <w:left w:val="none" w:sz="0" w:space="0" w:color="auto"/>
            <w:bottom w:val="none" w:sz="0" w:space="0" w:color="auto"/>
            <w:right w:val="none" w:sz="0" w:space="0" w:color="auto"/>
          </w:divBdr>
        </w:div>
        <w:div w:id="577792734">
          <w:marLeft w:val="480"/>
          <w:marRight w:val="0"/>
          <w:marTop w:val="0"/>
          <w:marBottom w:val="0"/>
          <w:divBdr>
            <w:top w:val="none" w:sz="0" w:space="0" w:color="auto"/>
            <w:left w:val="none" w:sz="0" w:space="0" w:color="auto"/>
            <w:bottom w:val="none" w:sz="0" w:space="0" w:color="auto"/>
            <w:right w:val="none" w:sz="0" w:space="0" w:color="auto"/>
          </w:divBdr>
        </w:div>
        <w:div w:id="1761290973">
          <w:marLeft w:val="480"/>
          <w:marRight w:val="0"/>
          <w:marTop w:val="0"/>
          <w:marBottom w:val="0"/>
          <w:divBdr>
            <w:top w:val="none" w:sz="0" w:space="0" w:color="auto"/>
            <w:left w:val="none" w:sz="0" w:space="0" w:color="auto"/>
            <w:bottom w:val="none" w:sz="0" w:space="0" w:color="auto"/>
            <w:right w:val="none" w:sz="0" w:space="0" w:color="auto"/>
          </w:divBdr>
        </w:div>
        <w:div w:id="12427435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C724-3BCB-4AE5-BFDC-B5379831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1358</Words>
  <Characters>7144</Characters>
  <Application>Microsoft Office Word</Application>
  <DocSecurity>0</DocSecurity>
  <Lines>176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Brouwer</dc:creator>
  <cp:keywords/>
  <dc:description/>
  <cp:lastModifiedBy>Christopher E Dorsey -LABOR-</cp:lastModifiedBy>
  <cp:revision>5</cp:revision>
  <cp:lastPrinted>2021-07-21T20:21:00Z</cp:lastPrinted>
  <dcterms:created xsi:type="dcterms:W3CDTF">2026-03-03T21:22:00Z</dcterms:created>
  <dcterms:modified xsi:type="dcterms:W3CDTF">2026-03-12T14:47:00Z</dcterms:modified>
</cp:coreProperties>
</file>