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2F948" w14:textId="13983970" w:rsidR="00FE1D9B" w:rsidRPr="00BD1B6D" w:rsidRDefault="00FE1D9B" w:rsidP="00BD1B6D">
      <w:pPr>
        <w:pStyle w:val="Heading1"/>
        <w:jc w:val="center"/>
        <w:rPr>
          <w:sz w:val="36"/>
          <w:szCs w:val="36"/>
        </w:rPr>
      </w:pPr>
      <w:r w:rsidRPr="00BD1B6D">
        <w:rPr>
          <w:sz w:val="36"/>
          <w:szCs w:val="36"/>
        </w:rPr>
        <w:t>State of Maryland</w:t>
      </w:r>
    </w:p>
    <w:p w14:paraId="3631FC60" w14:textId="51E044A5" w:rsidR="00CA2879" w:rsidRPr="00BD1B6D" w:rsidRDefault="00FE1D9B" w:rsidP="00BD1B6D">
      <w:pPr>
        <w:pStyle w:val="Heading1"/>
        <w:jc w:val="center"/>
        <w:rPr>
          <w:sz w:val="36"/>
          <w:szCs w:val="36"/>
        </w:rPr>
      </w:pPr>
      <w:r w:rsidRPr="00BD1B6D">
        <w:rPr>
          <w:sz w:val="36"/>
          <w:szCs w:val="36"/>
        </w:rPr>
        <w:t xml:space="preserve">Board of </w:t>
      </w:r>
      <w:r w:rsidR="005C4696" w:rsidRPr="00BD1B6D">
        <w:rPr>
          <w:sz w:val="36"/>
          <w:szCs w:val="36"/>
        </w:rPr>
        <w:t>Certified Public Accountants</w:t>
      </w:r>
    </w:p>
    <w:p w14:paraId="36ABB1B6" w14:textId="77777777" w:rsidR="00CA2879" w:rsidRPr="00BD1B6D" w:rsidRDefault="00502E9F" w:rsidP="00BD1B6D">
      <w:pPr>
        <w:pStyle w:val="Heading1"/>
        <w:jc w:val="center"/>
        <w:rPr>
          <w:sz w:val="36"/>
          <w:szCs w:val="36"/>
        </w:rPr>
      </w:pPr>
      <w:bookmarkStart w:id="0" w:name="_di9b3hnb3uee" w:colFirst="0" w:colLast="0"/>
      <w:bookmarkEnd w:id="0"/>
      <w:r w:rsidRPr="00BD1B6D">
        <w:rPr>
          <w:sz w:val="36"/>
          <w:szCs w:val="36"/>
        </w:rPr>
        <w:t>Business Meeting</w:t>
      </w:r>
      <w:r w:rsidR="00FE1D9B" w:rsidRPr="00BD1B6D">
        <w:rPr>
          <w:sz w:val="36"/>
          <w:szCs w:val="36"/>
        </w:rPr>
        <w:t xml:space="preserve"> Minutes</w:t>
      </w:r>
    </w:p>
    <w:p w14:paraId="73CD6DDA" w14:textId="0ED25CF5" w:rsidR="00CA2879" w:rsidRDefault="0055508F" w:rsidP="0055508F">
      <w:pPr>
        <w:pStyle w:val="Subtitle"/>
        <w:ind w:left="2160" w:firstLine="720"/>
        <w:jc w:val="both"/>
      </w:pPr>
      <w:bookmarkStart w:id="1" w:name="_1fwktq5nhz8d" w:colFirst="0" w:colLast="0"/>
      <w:bookmarkEnd w:id="1"/>
      <w:r>
        <w:t xml:space="preserve">Tuesday, </w:t>
      </w:r>
      <w:r w:rsidR="00CE0661">
        <w:t>February 3</w:t>
      </w:r>
      <w:r w:rsidR="007956D0">
        <w:t>, 202</w:t>
      </w:r>
      <w:r w:rsidR="006E04FC">
        <w:t>6</w:t>
      </w:r>
    </w:p>
    <w:p w14:paraId="2AFC4320" w14:textId="465BFDCD" w:rsidR="00AE6F5F" w:rsidRPr="00AE6F5F" w:rsidRDefault="00AE6F5F" w:rsidP="00AE6F5F">
      <w:pPr>
        <w:ind w:left="2880"/>
        <w:rPr>
          <w:rFonts w:asciiTheme="minorHAnsi" w:eastAsia="Calibri" w:hAnsiTheme="minorHAnsi" w:cstheme="minorHAnsi"/>
          <w:i/>
        </w:rPr>
      </w:pPr>
      <w:r w:rsidRPr="00AE6F5F">
        <w:rPr>
          <w:rFonts w:asciiTheme="minorHAnsi" w:eastAsia="Calibri" w:hAnsiTheme="minorHAnsi" w:cstheme="minorHAnsi"/>
          <w:i/>
        </w:rPr>
        <w:t xml:space="preserve">        </w:t>
      </w:r>
      <w:r>
        <w:rPr>
          <w:rFonts w:asciiTheme="minorHAnsi" w:eastAsia="Calibri" w:hAnsiTheme="minorHAnsi" w:cstheme="minorHAnsi"/>
          <w:i/>
        </w:rPr>
        <w:t xml:space="preserve">Via </w:t>
      </w:r>
      <w:r w:rsidRPr="00AE6F5F">
        <w:rPr>
          <w:rFonts w:asciiTheme="minorHAnsi" w:eastAsia="Calibri" w:hAnsiTheme="minorHAnsi" w:cstheme="minorHAnsi"/>
          <w:i/>
        </w:rPr>
        <w:t>Google Meets Teleconference</w:t>
      </w:r>
    </w:p>
    <w:p w14:paraId="2AA7F114"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rPr>
        <w:t xml:space="preserve">                                                         </w:t>
      </w:r>
    </w:p>
    <w:p w14:paraId="07D84690" w14:textId="77777777" w:rsidR="00AE6F5F" w:rsidRPr="00276C95" w:rsidRDefault="00AE6F5F" w:rsidP="00AE6F5F">
      <w:pPr>
        <w:rPr>
          <w:rFonts w:asciiTheme="minorHAnsi" w:eastAsia="Calibri" w:hAnsiTheme="minorHAnsi" w:cstheme="minorHAnsi"/>
          <w:b/>
        </w:rPr>
      </w:pPr>
      <w:r w:rsidRPr="00276C95">
        <w:rPr>
          <w:rFonts w:asciiTheme="minorHAnsi" w:eastAsia="Calibri" w:hAnsiTheme="minorHAnsi" w:cstheme="minorHAnsi"/>
          <w:b/>
        </w:rPr>
        <w:t xml:space="preserve">MEMBERS </w:t>
      </w:r>
    </w:p>
    <w:p w14:paraId="0CED6CC4" w14:textId="345DD4C4" w:rsidR="00AE6F5F" w:rsidRPr="00276C95" w:rsidRDefault="00AE6F5F" w:rsidP="00AE6F5F">
      <w:pPr>
        <w:rPr>
          <w:rFonts w:asciiTheme="minorHAnsi" w:eastAsia="Calibri" w:hAnsiTheme="minorHAnsi" w:cstheme="minorHAnsi"/>
        </w:rPr>
      </w:pPr>
      <w:r w:rsidRPr="00276C95">
        <w:rPr>
          <w:rFonts w:asciiTheme="minorHAnsi" w:eastAsia="Calibri" w:hAnsiTheme="minorHAnsi" w:cstheme="minorHAnsi"/>
          <w:b/>
        </w:rPr>
        <w:t>IN ATTENDANCE</w:t>
      </w:r>
      <w:r w:rsidR="002E68D5" w:rsidRPr="00276C95">
        <w:rPr>
          <w:rFonts w:asciiTheme="minorHAnsi" w:eastAsia="Calibri" w:hAnsiTheme="minorHAnsi" w:cstheme="minorHAnsi"/>
          <w:b/>
        </w:rPr>
        <w:t xml:space="preserve">:                      </w:t>
      </w:r>
      <w:r w:rsidR="002E68D5" w:rsidRPr="00276C95">
        <w:rPr>
          <w:rFonts w:asciiTheme="minorHAnsi" w:eastAsia="Calibri" w:hAnsiTheme="minorHAnsi" w:cstheme="minorHAnsi"/>
        </w:rPr>
        <w:t xml:space="preserve"> </w:t>
      </w:r>
      <w:r w:rsidR="006E04FC" w:rsidRPr="00276C95">
        <w:rPr>
          <w:rFonts w:asciiTheme="minorHAnsi" w:eastAsia="Calibri" w:hAnsiTheme="minorHAnsi" w:cstheme="minorHAnsi"/>
        </w:rPr>
        <w:t>Jeff Wilson</w:t>
      </w:r>
      <w:r w:rsidR="00BD1B6D">
        <w:rPr>
          <w:rFonts w:asciiTheme="minorHAnsi" w:eastAsia="Calibri" w:hAnsiTheme="minorHAnsi" w:cstheme="minorHAnsi"/>
        </w:rPr>
        <w:t xml:space="preserve"> II</w:t>
      </w:r>
      <w:r w:rsidR="005A2068" w:rsidRPr="00276C95">
        <w:rPr>
          <w:rFonts w:asciiTheme="minorHAnsi" w:eastAsia="Calibri" w:hAnsiTheme="minorHAnsi" w:cstheme="minorHAnsi"/>
        </w:rPr>
        <w:t>,</w:t>
      </w:r>
      <w:r w:rsidR="00F6492A" w:rsidRPr="00276C95">
        <w:rPr>
          <w:rFonts w:asciiTheme="minorHAnsi" w:eastAsia="Calibri" w:hAnsiTheme="minorHAnsi" w:cstheme="minorHAnsi"/>
        </w:rPr>
        <w:t xml:space="preserve"> </w:t>
      </w:r>
      <w:r w:rsidR="00234735" w:rsidRPr="00276C95">
        <w:rPr>
          <w:rFonts w:asciiTheme="minorHAnsi" w:eastAsia="Calibri" w:hAnsiTheme="minorHAnsi" w:cstheme="minorHAnsi"/>
        </w:rPr>
        <w:t>Chair</w:t>
      </w:r>
      <w:r w:rsidRPr="00276C95">
        <w:rPr>
          <w:rFonts w:asciiTheme="minorHAnsi" w:eastAsia="Calibri" w:hAnsiTheme="minorHAnsi" w:cstheme="minorHAnsi"/>
        </w:rPr>
        <w:tab/>
      </w:r>
    </w:p>
    <w:p w14:paraId="0B725966" w14:textId="4386FC40" w:rsidR="00870309" w:rsidRPr="00276C95" w:rsidRDefault="00870309" w:rsidP="00F51B5E">
      <w:pPr>
        <w:rPr>
          <w:rFonts w:asciiTheme="minorHAnsi" w:eastAsia="Calibri" w:hAnsiTheme="minorHAnsi" w:cstheme="minorHAnsi"/>
        </w:rPr>
      </w:pPr>
      <w:r w:rsidRPr="00276C95">
        <w:rPr>
          <w:rFonts w:asciiTheme="minorHAnsi" w:eastAsia="Calibri" w:hAnsiTheme="minorHAnsi" w:cstheme="minorHAnsi"/>
        </w:rPr>
        <w:tab/>
      </w:r>
      <w:r w:rsidRPr="00276C95">
        <w:rPr>
          <w:rFonts w:asciiTheme="minorHAnsi" w:eastAsia="Calibri" w:hAnsiTheme="minorHAnsi" w:cstheme="minorHAnsi"/>
        </w:rPr>
        <w:tab/>
      </w:r>
      <w:r w:rsidRPr="00276C95">
        <w:rPr>
          <w:rFonts w:asciiTheme="minorHAnsi" w:eastAsia="Calibri" w:hAnsiTheme="minorHAnsi" w:cstheme="minorHAnsi"/>
        </w:rPr>
        <w:tab/>
      </w:r>
      <w:r w:rsidR="00F51B5E" w:rsidRPr="00276C95">
        <w:rPr>
          <w:rFonts w:asciiTheme="minorHAnsi" w:eastAsia="Calibri" w:hAnsiTheme="minorHAnsi" w:cstheme="minorHAnsi"/>
        </w:rPr>
        <w:t xml:space="preserve">             </w:t>
      </w:r>
      <w:r w:rsidR="00792FD7" w:rsidRPr="00276C95">
        <w:rPr>
          <w:rFonts w:asciiTheme="minorHAnsi" w:eastAsia="Calibri" w:hAnsiTheme="minorHAnsi" w:cstheme="minorHAnsi"/>
        </w:rPr>
        <w:t xml:space="preserve"> </w:t>
      </w:r>
      <w:r w:rsidR="00C26BFB" w:rsidRPr="00276C95">
        <w:rPr>
          <w:rFonts w:asciiTheme="minorHAnsi" w:eastAsia="Calibri" w:hAnsiTheme="minorHAnsi" w:cstheme="minorHAnsi"/>
        </w:rPr>
        <w:t>Pamela Gray</w:t>
      </w:r>
      <w:r w:rsidR="00667693" w:rsidRPr="00276C95">
        <w:rPr>
          <w:rFonts w:asciiTheme="minorHAnsi" w:eastAsia="Calibri" w:hAnsiTheme="minorHAnsi" w:cstheme="minorHAnsi"/>
        </w:rPr>
        <w:tab/>
      </w:r>
    </w:p>
    <w:p w14:paraId="35EB81FF" w14:textId="0FD1E473" w:rsidR="00AE6F5F" w:rsidRPr="00276C95" w:rsidRDefault="00870309" w:rsidP="006E04FC">
      <w:pPr>
        <w:rPr>
          <w:rFonts w:asciiTheme="minorHAnsi" w:eastAsia="Calibri" w:hAnsiTheme="minorHAnsi" w:cstheme="minorHAnsi"/>
          <w:bCs/>
        </w:rPr>
      </w:pPr>
      <w:r w:rsidRPr="00276C95">
        <w:rPr>
          <w:rFonts w:asciiTheme="minorHAnsi" w:eastAsia="Calibri" w:hAnsiTheme="minorHAnsi" w:cstheme="minorHAnsi"/>
        </w:rPr>
        <w:tab/>
      </w:r>
      <w:r w:rsidRPr="00276C95">
        <w:rPr>
          <w:rFonts w:asciiTheme="minorHAnsi" w:eastAsia="Calibri" w:hAnsiTheme="minorHAnsi" w:cstheme="minorHAnsi"/>
        </w:rPr>
        <w:tab/>
      </w:r>
      <w:r w:rsidR="006E04FC" w:rsidRPr="00276C95">
        <w:rPr>
          <w:rFonts w:asciiTheme="minorHAnsi" w:eastAsia="Calibri" w:hAnsiTheme="minorHAnsi" w:cstheme="minorHAnsi"/>
        </w:rPr>
        <w:t xml:space="preserve">               </w:t>
      </w:r>
      <w:r w:rsidR="00AE6F5F" w:rsidRPr="00276C95">
        <w:rPr>
          <w:rFonts w:asciiTheme="minorHAnsi" w:eastAsia="Calibri" w:hAnsiTheme="minorHAnsi" w:cstheme="minorHAnsi"/>
        </w:rPr>
        <w:t xml:space="preserve">               </w:t>
      </w:r>
      <w:r w:rsidR="00395A93" w:rsidRPr="00276C95">
        <w:rPr>
          <w:rFonts w:asciiTheme="minorHAnsi" w:eastAsia="Calibri" w:hAnsiTheme="minorHAnsi" w:cstheme="minorHAnsi"/>
          <w:bCs/>
        </w:rPr>
        <w:t>J</w:t>
      </w:r>
      <w:r w:rsidR="00C26BFB" w:rsidRPr="00276C95">
        <w:rPr>
          <w:rFonts w:asciiTheme="minorHAnsi" w:eastAsia="Calibri" w:hAnsiTheme="minorHAnsi" w:cstheme="minorHAnsi"/>
          <w:bCs/>
        </w:rPr>
        <w:t>oan Pratt</w:t>
      </w:r>
    </w:p>
    <w:p w14:paraId="652B73CA" w14:textId="7347E518" w:rsidR="006E04FC" w:rsidRPr="00276C95" w:rsidRDefault="006E04FC" w:rsidP="006E04FC">
      <w:pPr>
        <w:rPr>
          <w:rFonts w:asciiTheme="minorHAnsi" w:eastAsia="Calibri" w:hAnsiTheme="minorHAnsi" w:cstheme="minorHAnsi"/>
        </w:rPr>
      </w:pPr>
      <w:r w:rsidRPr="00276C95">
        <w:rPr>
          <w:rFonts w:asciiTheme="minorHAnsi" w:eastAsia="Calibri" w:hAnsiTheme="minorHAnsi" w:cstheme="minorHAnsi"/>
        </w:rPr>
        <w:t xml:space="preserve">                                                            Michelle Sotka</w:t>
      </w:r>
    </w:p>
    <w:p w14:paraId="26E6DA85" w14:textId="7F4152DA" w:rsidR="00AE6F5F" w:rsidRPr="00276C95" w:rsidRDefault="00AE6F5F" w:rsidP="00234735">
      <w:pPr>
        <w:rPr>
          <w:rFonts w:asciiTheme="minorHAnsi" w:eastAsia="Calibri" w:hAnsiTheme="minorHAnsi" w:cstheme="minorHAnsi"/>
        </w:rPr>
      </w:pPr>
      <w:r w:rsidRPr="00276C95">
        <w:rPr>
          <w:rFonts w:asciiTheme="minorHAnsi" w:eastAsia="Calibri" w:hAnsiTheme="minorHAnsi" w:cstheme="minorHAnsi"/>
        </w:rPr>
        <w:tab/>
      </w:r>
      <w:r w:rsidRPr="00276C95">
        <w:rPr>
          <w:rFonts w:asciiTheme="minorHAnsi" w:eastAsia="Calibri" w:hAnsiTheme="minorHAnsi" w:cstheme="minorHAnsi"/>
        </w:rPr>
        <w:tab/>
      </w:r>
      <w:r w:rsidR="008C1C12" w:rsidRPr="00276C95">
        <w:rPr>
          <w:rFonts w:asciiTheme="minorHAnsi" w:eastAsia="Calibri" w:hAnsiTheme="minorHAnsi" w:cstheme="minorHAnsi"/>
        </w:rPr>
        <w:t xml:space="preserve">                              </w:t>
      </w:r>
      <w:r w:rsidR="006E04FC" w:rsidRPr="00276C95">
        <w:rPr>
          <w:rFonts w:asciiTheme="minorHAnsi" w:eastAsia="Calibri" w:hAnsiTheme="minorHAnsi" w:cstheme="minorHAnsi"/>
        </w:rPr>
        <w:t>Jeffery Lawson</w:t>
      </w:r>
    </w:p>
    <w:p w14:paraId="63B22EE9" w14:textId="1AA496B6" w:rsidR="008C1C12" w:rsidRPr="00276C95" w:rsidRDefault="008C1C12" w:rsidP="00234735">
      <w:pPr>
        <w:rPr>
          <w:rFonts w:asciiTheme="minorHAnsi" w:eastAsia="Calibri" w:hAnsiTheme="minorHAnsi" w:cstheme="minorHAnsi"/>
        </w:rPr>
      </w:pPr>
      <w:r w:rsidRPr="00276C95">
        <w:rPr>
          <w:rFonts w:asciiTheme="minorHAnsi" w:eastAsia="Calibri" w:hAnsiTheme="minorHAnsi" w:cstheme="minorHAnsi"/>
        </w:rPr>
        <w:tab/>
      </w:r>
      <w:r w:rsidRPr="00276C95">
        <w:rPr>
          <w:rFonts w:asciiTheme="minorHAnsi" w:eastAsia="Calibri" w:hAnsiTheme="minorHAnsi" w:cstheme="minorHAnsi"/>
        </w:rPr>
        <w:tab/>
      </w:r>
      <w:r w:rsidRPr="00276C95">
        <w:rPr>
          <w:rFonts w:asciiTheme="minorHAnsi" w:eastAsia="Calibri" w:hAnsiTheme="minorHAnsi" w:cstheme="minorHAnsi"/>
        </w:rPr>
        <w:tab/>
      </w:r>
      <w:r w:rsidRPr="00276C95">
        <w:rPr>
          <w:rFonts w:asciiTheme="minorHAnsi" w:eastAsia="Calibri" w:hAnsiTheme="minorHAnsi" w:cstheme="minorHAnsi"/>
        </w:rPr>
        <w:tab/>
      </w:r>
      <w:r w:rsidR="006E04FC" w:rsidRPr="00276C95">
        <w:rPr>
          <w:rFonts w:asciiTheme="minorHAnsi" w:eastAsia="Calibri" w:hAnsiTheme="minorHAnsi" w:cstheme="minorHAnsi"/>
        </w:rPr>
        <w:t>Kevin Harris</w:t>
      </w:r>
    </w:p>
    <w:p w14:paraId="347F48A3" w14:textId="0BCA44FC" w:rsidR="00D845D7" w:rsidRPr="00276C95" w:rsidRDefault="00EB333A" w:rsidP="00AE6F5F">
      <w:pPr>
        <w:rPr>
          <w:rFonts w:asciiTheme="minorHAnsi" w:eastAsia="Calibri" w:hAnsiTheme="minorHAnsi" w:cstheme="minorHAnsi"/>
          <w:bCs/>
        </w:rPr>
      </w:pPr>
      <w:r w:rsidRPr="00276C95">
        <w:rPr>
          <w:rFonts w:asciiTheme="minorHAnsi" w:eastAsia="Calibri" w:hAnsiTheme="minorHAnsi" w:cstheme="minorHAnsi"/>
          <w:b/>
        </w:rPr>
        <w:t>ABSENT MEMBER:</w:t>
      </w:r>
      <w:r w:rsidRPr="00276C95">
        <w:rPr>
          <w:rFonts w:asciiTheme="minorHAnsi" w:eastAsia="Calibri" w:hAnsiTheme="minorHAnsi" w:cstheme="minorHAnsi"/>
          <w:b/>
        </w:rPr>
        <w:tab/>
      </w:r>
      <w:r w:rsidR="009A6DD8" w:rsidRPr="00276C95">
        <w:rPr>
          <w:rFonts w:asciiTheme="minorHAnsi" w:eastAsia="Calibri" w:hAnsiTheme="minorHAnsi" w:cstheme="minorHAnsi"/>
          <w:b/>
        </w:rPr>
        <w:tab/>
      </w:r>
      <w:r w:rsidR="00D845D7" w:rsidRPr="00276C95">
        <w:rPr>
          <w:rFonts w:asciiTheme="minorHAnsi" w:eastAsia="Calibri" w:hAnsiTheme="minorHAnsi" w:cstheme="minorHAnsi"/>
          <w:b/>
        </w:rPr>
        <w:tab/>
      </w:r>
    </w:p>
    <w:p w14:paraId="3D6B2455" w14:textId="1D818FE8" w:rsidR="00EB333A" w:rsidRPr="00276C95" w:rsidRDefault="00D845D7" w:rsidP="00AE6F5F">
      <w:pPr>
        <w:rPr>
          <w:rFonts w:asciiTheme="minorHAnsi" w:eastAsia="Calibri" w:hAnsiTheme="minorHAnsi" w:cstheme="minorHAnsi"/>
          <w:b/>
        </w:rPr>
      </w:pPr>
      <w:r w:rsidRPr="00276C95">
        <w:rPr>
          <w:rFonts w:asciiTheme="minorHAnsi" w:eastAsia="Calibri" w:hAnsiTheme="minorHAnsi" w:cstheme="minorHAnsi"/>
          <w:bCs/>
        </w:rPr>
        <w:tab/>
      </w:r>
      <w:r w:rsidRPr="00276C95">
        <w:rPr>
          <w:rFonts w:asciiTheme="minorHAnsi" w:eastAsia="Calibri" w:hAnsiTheme="minorHAnsi" w:cstheme="minorHAnsi"/>
          <w:bCs/>
        </w:rPr>
        <w:tab/>
      </w:r>
      <w:r w:rsidRPr="00276C95">
        <w:rPr>
          <w:rFonts w:asciiTheme="minorHAnsi" w:eastAsia="Calibri" w:hAnsiTheme="minorHAnsi" w:cstheme="minorHAnsi"/>
          <w:bCs/>
        </w:rPr>
        <w:tab/>
      </w:r>
      <w:r w:rsidRPr="00276C95">
        <w:rPr>
          <w:rFonts w:asciiTheme="minorHAnsi" w:eastAsia="Calibri" w:hAnsiTheme="minorHAnsi" w:cstheme="minorHAnsi"/>
          <w:bCs/>
        </w:rPr>
        <w:tab/>
      </w:r>
    </w:p>
    <w:p w14:paraId="0159F3B7" w14:textId="525D98BC" w:rsidR="00AE6F5F" w:rsidRPr="00276C95" w:rsidRDefault="00AE6F5F" w:rsidP="00AE6F5F">
      <w:pPr>
        <w:rPr>
          <w:rFonts w:asciiTheme="minorHAnsi" w:eastAsia="Calibri" w:hAnsiTheme="minorHAnsi" w:cstheme="minorHAnsi"/>
        </w:rPr>
      </w:pPr>
      <w:r w:rsidRPr="00276C95">
        <w:rPr>
          <w:rFonts w:asciiTheme="minorHAnsi" w:eastAsia="Calibri" w:hAnsiTheme="minorHAnsi" w:cstheme="minorHAnsi"/>
          <w:b/>
        </w:rPr>
        <w:t>DLLR OFFICIALS/STAFF:</w:t>
      </w:r>
      <w:r w:rsidRPr="00276C95">
        <w:rPr>
          <w:rFonts w:asciiTheme="minorHAnsi" w:eastAsia="Calibri" w:hAnsiTheme="minorHAnsi" w:cstheme="minorHAnsi"/>
          <w:b/>
        </w:rPr>
        <w:tab/>
      </w:r>
      <w:r w:rsidRPr="00276C95">
        <w:rPr>
          <w:rFonts w:asciiTheme="minorHAnsi" w:eastAsia="Calibri" w:hAnsiTheme="minorHAnsi" w:cstheme="minorHAnsi"/>
        </w:rPr>
        <w:t>Christopher Dorsey, Executive Director</w:t>
      </w:r>
    </w:p>
    <w:p w14:paraId="72E76D53" w14:textId="12E5C166" w:rsidR="0030323A" w:rsidRPr="00276C95" w:rsidRDefault="0030323A" w:rsidP="00AE6F5F">
      <w:pPr>
        <w:rPr>
          <w:rFonts w:asciiTheme="minorHAnsi" w:eastAsia="Calibri" w:hAnsiTheme="minorHAnsi" w:cstheme="minorHAnsi"/>
        </w:rPr>
      </w:pPr>
      <w:r w:rsidRPr="00276C95">
        <w:rPr>
          <w:rFonts w:asciiTheme="minorHAnsi" w:eastAsia="Calibri" w:hAnsiTheme="minorHAnsi" w:cstheme="minorHAnsi"/>
        </w:rPr>
        <w:tab/>
      </w:r>
      <w:r w:rsidRPr="00276C95">
        <w:rPr>
          <w:rFonts w:asciiTheme="minorHAnsi" w:eastAsia="Calibri" w:hAnsiTheme="minorHAnsi" w:cstheme="minorHAnsi"/>
        </w:rPr>
        <w:tab/>
      </w:r>
      <w:r w:rsidRPr="00276C95">
        <w:rPr>
          <w:rFonts w:asciiTheme="minorHAnsi" w:eastAsia="Calibri" w:hAnsiTheme="minorHAnsi" w:cstheme="minorHAnsi"/>
        </w:rPr>
        <w:tab/>
      </w:r>
      <w:r w:rsidRPr="00276C95">
        <w:rPr>
          <w:rFonts w:asciiTheme="minorHAnsi" w:eastAsia="Calibri" w:hAnsiTheme="minorHAnsi" w:cstheme="minorHAnsi"/>
        </w:rPr>
        <w:tab/>
      </w:r>
      <w:r w:rsidR="005D1534" w:rsidRPr="00276C95">
        <w:rPr>
          <w:rFonts w:asciiTheme="minorHAnsi" w:eastAsia="Calibri" w:hAnsiTheme="minorHAnsi" w:cstheme="minorHAnsi"/>
        </w:rPr>
        <w:t>Robert Pambianco</w:t>
      </w:r>
      <w:r w:rsidRPr="00276C95">
        <w:rPr>
          <w:rFonts w:asciiTheme="minorHAnsi" w:eastAsia="Calibri" w:hAnsiTheme="minorHAnsi" w:cstheme="minorHAnsi"/>
        </w:rPr>
        <w:t>, Legal Counsel</w:t>
      </w:r>
    </w:p>
    <w:p w14:paraId="4F24D393" w14:textId="09964956" w:rsidR="00F062C6" w:rsidRPr="00276C95" w:rsidRDefault="00E66121" w:rsidP="005D1534">
      <w:pPr>
        <w:rPr>
          <w:rFonts w:asciiTheme="minorHAnsi" w:eastAsia="Calibri" w:hAnsiTheme="minorHAnsi" w:cstheme="minorHAnsi"/>
        </w:rPr>
      </w:pPr>
      <w:r w:rsidRPr="00276C95">
        <w:rPr>
          <w:rFonts w:asciiTheme="minorHAnsi" w:eastAsia="Calibri" w:hAnsiTheme="minorHAnsi" w:cstheme="minorHAnsi"/>
        </w:rPr>
        <w:tab/>
      </w:r>
      <w:r w:rsidRPr="00276C95">
        <w:rPr>
          <w:rFonts w:asciiTheme="minorHAnsi" w:eastAsia="Calibri" w:hAnsiTheme="minorHAnsi" w:cstheme="minorHAnsi"/>
        </w:rPr>
        <w:tab/>
      </w:r>
      <w:r w:rsidRPr="00276C95">
        <w:rPr>
          <w:rFonts w:asciiTheme="minorHAnsi" w:eastAsia="Calibri" w:hAnsiTheme="minorHAnsi" w:cstheme="minorHAnsi"/>
        </w:rPr>
        <w:tab/>
      </w:r>
      <w:r w:rsidR="005D1534" w:rsidRPr="00276C95">
        <w:rPr>
          <w:rFonts w:asciiTheme="minorHAnsi" w:eastAsia="Calibri" w:hAnsiTheme="minorHAnsi" w:cstheme="minorHAnsi"/>
        </w:rPr>
        <w:tab/>
        <w:t>S</w:t>
      </w:r>
      <w:r w:rsidRPr="00276C95">
        <w:rPr>
          <w:rFonts w:asciiTheme="minorHAnsi" w:eastAsia="Calibri" w:hAnsiTheme="minorHAnsi" w:cstheme="minorHAnsi"/>
        </w:rPr>
        <w:t xml:space="preserve">harron McNeill, </w:t>
      </w:r>
      <w:r w:rsidR="00D10B25" w:rsidRPr="00276C95">
        <w:rPr>
          <w:rFonts w:asciiTheme="minorHAnsi" w:eastAsia="Calibri" w:hAnsiTheme="minorHAnsi" w:cstheme="minorHAnsi"/>
        </w:rPr>
        <w:t xml:space="preserve">Office </w:t>
      </w:r>
      <w:r w:rsidRPr="00276C95">
        <w:rPr>
          <w:rFonts w:asciiTheme="minorHAnsi" w:eastAsia="Calibri" w:hAnsiTheme="minorHAnsi" w:cstheme="minorHAnsi"/>
        </w:rPr>
        <w:t>Supervisor</w:t>
      </w:r>
    </w:p>
    <w:p w14:paraId="52D58F22" w14:textId="3058E580" w:rsidR="00F062C6" w:rsidRPr="00276C95" w:rsidRDefault="003675B8" w:rsidP="005E2DD6">
      <w:pPr>
        <w:ind w:left="2160" w:firstLine="720"/>
        <w:rPr>
          <w:rFonts w:asciiTheme="minorHAnsi" w:eastAsia="Calibri" w:hAnsiTheme="minorHAnsi" w:cstheme="minorHAnsi"/>
        </w:rPr>
      </w:pPr>
      <w:r w:rsidRPr="00276C95">
        <w:rPr>
          <w:rFonts w:asciiTheme="minorHAnsi" w:eastAsia="Calibri" w:hAnsiTheme="minorHAnsi" w:cstheme="minorHAnsi"/>
        </w:rPr>
        <w:t>Shemirra Massi</w:t>
      </w:r>
      <w:r w:rsidR="00F062C6" w:rsidRPr="00276C95">
        <w:rPr>
          <w:rFonts w:asciiTheme="minorHAnsi" w:eastAsia="Calibri" w:hAnsiTheme="minorHAnsi" w:cstheme="minorHAnsi"/>
        </w:rPr>
        <w:t>e</w:t>
      </w:r>
      <w:r w:rsidRPr="00276C95">
        <w:rPr>
          <w:rFonts w:asciiTheme="minorHAnsi" w:eastAsia="Calibri" w:hAnsiTheme="minorHAnsi" w:cstheme="minorHAnsi"/>
        </w:rPr>
        <w:t xml:space="preserve">, Administrative </w:t>
      </w:r>
      <w:r w:rsidR="005D1534" w:rsidRPr="00276C95">
        <w:rPr>
          <w:rFonts w:asciiTheme="minorHAnsi" w:eastAsia="Calibri" w:hAnsiTheme="minorHAnsi" w:cstheme="minorHAnsi"/>
        </w:rPr>
        <w:t>Officer I</w:t>
      </w:r>
    </w:p>
    <w:p w14:paraId="7341B264" w14:textId="14586DA4" w:rsidR="00CE0661" w:rsidRDefault="00CE0661" w:rsidP="005E2DD6">
      <w:pPr>
        <w:ind w:left="2160" w:firstLine="720"/>
        <w:rPr>
          <w:rFonts w:asciiTheme="minorHAnsi" w:eastAsia="Calibri" w:hAnsiTheme="minorHAnsi" w:cstheme="minorHAnsi"/>
        </w:rPr>
      </w:pPr>
      <w:r>
        <w:rPr>
          <w:rFonts w:asciiTheme="minorHAnsi" w:eastAsia="Calibri" w:hAnsiTheme="minorHAnsi" w:cstheme="minorHAnsi"/>
        </w:rPr>
        <w:t>Sarah Mc Dermott, Assistant Commissioner</w:t>
      </w:r>
    </w:p>
    <w:p w14:paraId="763661D9" w14:textId="23724EB1" w:rsidR="00124C47" w:rsidRDefault="00124C47" w:rsidP="005E2DD6">
      <w:pPr>
        <w:ind w:left="2160" w:firstLine="720"/>
        <w:rPr>
          <w:rFonts w:asciiTheme="minorHAnsi" w:eastAsia="Calibri" w:hAnsiTheme="minorHAnsi" w:cstheme="minorHAnsi"/>
        </w:rPr>
      </w:pPr>
      <w:r w:rsidRPr="00276C95">
        <w:rPr>
          <w:rFonts w:asciiTheme="minorHAnsi" w:eastAsia="Calibri" w:hAnsiTheme="minorHAnsi" w:cstheme="minorHAnsi"/>
        </w:rPr>
        <w:t>Aajah Harris, Office of the Commissioner</w:t>
      </w:r>
    </w:p>
    <w:p w14:paraId="6BC947B2" w14:textId="15D8462B" w:rsidR="00E04BC5" w:rsidRPr="00276C95" w:rsidRDefault="00E04BC5" w:rsidP="005E2DD6">
      <w:pPr>
        <w:ind w:left="2160" w:firstLine="720"/>
        <w:rPr>
          <w:rFonts w:asciiTheme="minorHAnsi" w:eastAsia="Calibri" w:hAnsiTheme="minorHAnsi" w:cstheme="minorHAnsi"/>
        </w:rPr>
      </w:pPr>
      <w:r w:rsidRPr="00E04BC5">
        <w:rPr>
          <w:rFonts w:asciiTheme="minorHAnsi" w:eastAsia="Calibri" w:hAnsiTheme="minorHAnsi" w:cstheme="minorHAnsi"/>
        </w:rPr>
        <w:t>Javon Williams</w:t>
      </w:r>
      <w:r>
        <w:rPr>
          <w:rFonts w:asciiTheme="minorHAnsi" w:eastAsia="Calibri" w:hAnsiTheme="minorHAnsi" w:cstheme="minorHAnsi"/>
        </w:rPr>
        <w:t xml:space="preserve">, Office of the Commissioner </w:t>
      </w:r>
    </w:p>
    <w:p w14:paraId="65E0F84C" w14:textId="77777777" w:rsidR="0004535C" w:rsidRPr="00276C95" w:rsidRDefault="0004535C" w:rsidP="00AE6F5F">
      <w:pPr>
        <w:ind w:left="2880" w:hanging="2880"/>
        <w:rPr>
          <w:rFonts w:asciiTheme="minorHAnsi" w:eastAsia="Calibri" w:hAnsiTheme="minorHAnsi" w:cstheme="minorHAnsi"/>
          <w:b/>
        </w:rPr>
      </w:pPr>
    </w:p>
    <w:p w14:paraId="687944D6" w14:textId="38BDDDC4" w:rsidR="00792FD7" w:rsidRPr="00276C95" w:rsidRDefault="00AE6F5F" w:rsidP="008C4DA0">
      <w:pPr>
        <w:ind w:left="2880" w:hanging="2880"/>
        <w:rPr>
          <w:rFonts w:asciiTheme="minorHAnsi" w:eastAsia="Calibri" w:hAnsiTheme="minorHAnsi" w:cstheme="minorHAnsi"/>
          <w:bCs/>
        </w:rPr>
      </w:pPr>
      <w:r w:rsidRPr="00276C95">
        <w:rPr>
          <w:rFonts w:asciiTheme="minorHAnsi" w:eastAsia="Calibri" w:hAnsiTheme="minorHAnsi" w:cstheme="minorHAnsi"/>
          <w:b/>
        </w:rPr>
        <w:t>OTHERS PRESENT:</w:t>
      </w:r>
      <w:r w:rsidR="00792FD7" w:rsidRPr="00276C95">
        <w:rPr>
          <w:rFonts w:asciiTheme="minorHAnsi" w:eastAsia="Calibri" w:hAnsiTheme="minorHAnsi" w:cstheme="minorHAnsi"/>
          <w:b/>
        </w:rPr>
        <w:tab/>
      </w:r>
      <w:r w:rsidR="008E380A" w:rsidRPr="00276C95">
        <w:rPr>
          <w:rFonts w:asciiTheme="minorHAnsi" w:eastAsia="Calibri" w:hAnsiTheme="minorHAnsi" w:cstheme="minorHAnsi"/>
          <w:bCs/>
        </w:rPr>
        <w:t>Marybeth H</w:t>
      </w:r>
      <w:r w:rsidR="00E04BC5">
        <w:rPr>
          <w:rFonts w:asciiTheme="minorHAnsi" w:eastAsia="Calibri" w:hAnsiTheme="minorHAnsi" w:cstheme="minorHAnsi"/>
          <w:bCs/>
        </w:rPr>
        <w:t>a</w:t>
      </w:r>
      <w:r w:rsidR="008E380A" w:rsidRPr="00276C95">
        <w:rPr>
          <w:rFonts w:asciiTheme="minorHAnsi" w:eastAsia="Calibri" w:hAnsiTheme="minorHAnsi" w:cstheme="minorHAnsi"/>
          <w:bCs/>
        </w:rPr>
        <w:t>lpern</w:t>
      </w:r>
      <w:r w:rsidR="00A1216B" w:rsidRPr="00276C95">
        <w:rPr>
          <w:rFonts w:asciiTheme="minorHAnsi" w:eastAsia="Calibri" w:hAnsiTheme="minorHAnsi" w:cstheme="minorHAnsi"/>
          <w:bCs/>
        </w:rPr>
        <w:t>, MACPA</w:t>
      </w:r>
    </w:p>
    <w:p w14:paraId="2F8913C5" w14:textId="18A5CE0B" w:rsidR="00124C47" w:rsidRPr="00276C95" w:rsidRDefault="00124C47" w:rsidP="008C4DA0">
      <w:pPr>
        <w:ind w:left="2880" w:hanging="2880"/>
        <w:rPr>
          <w:rFonts w:asciiTheme="minorHAnsi" w:eastAsia="Calibri" w:hAnsiTheme="minorHAnsi" w:cstheme="minorHAnsi"/>
          <w:bCs/>
        </w:rPr>
      </w:pPr>
      <w:r w:rsidRPr="00276C95">
        <w:rPr>
          <w:rFonts w:asciiTheme="minorHAnsi" w:eastAsia="Calibri" w:hAnsiTheme="minorHAnsi" w:cstheme="minorHAnsi"/>
          <w:b/>
        </w:rPr>
        <w:tab/>
      </w:r>
      <w:r w:rsidRPr="00276C95">
        <w:rPr>
          <w:rFonts w:asciiTheme="minorHAnsi" w:eastAsia="Calibri" w:hAnsiTheme="minorHAnsi" w:cstheme="minorHAnsi"/>
          <w:bCs/>
        </w:rPr>
        <w:t>Rebekah Olson, MACPA</w:t>
      </w:r>
    </w:p>
    <w:p w14:paraId="62B4AC0B" w14:textId="16017DDA" w:rsidR="00A1216B" w:rsidRDefault="00A1216B" w:rsidP="008C4DA0">
      <w:pPr>
        <w:ind w:left="2880" w:hanging="2880"/>
        <w:rPr>
          <w:rFonts w:asciiTheme="minorHAnsi" w:eastAsia="Calibri" w:hAnsiTheme="minorHAnsi" w:cstheme="minorHAnsi"/>
          <w:bCs/>
        </w:rPr>
      </w:pPr>
      <w:r w:rsidRPr="00276C95">
        <w:rPr>
          <w:rFonts w:asciiTheme="minorHAnsi" w:eastAsia="Calibri" w:hAnsiTheme="minorHAnsi" w:cstheme="minorHAnsi"/>
          <w:bCs/>
        </w:rPr>
        <w:tab/>
      </w:r>
      <w:r w:rsidR="00F51B5E" w:rsidRPr="00276C95">
        <w:rPr>
          <w:rFonts w:asciiTheme="minorHAnsi" w:eastAsia="Calibri" w:hAnsiTheme="minorHAnsi" w:cstheme="minorHAnsi"/>
          <w:bCs/>
        </w:rPr>
        <w:t>Kausar Syed</w:t>
      </w:r>
    </w:p>
    <w:p w14:paraId="17E18A0B" w14:textId="764FA23B" w:rsidR="00CE0661" w:rsidRDefault="00CE0661" w:rsidP="008C4DA0">
      <w:pPr>
        <w:ind w:left="2880" w:hanging="2880"/>
        <w:rPr>
          <w:rFonts w:asciiTheme="minorHAnsi" w:eastAsia="Calibri" w:hAnsiTheme="minorHAnsi" w:cstheme="minorHAnsi"/>
          <w:bCs/>
        </w:rPr>
      </w:pPr>
      <w:r>
        <w:rPr>
          <w:rFonts w:asciiTheme="minorHAnsi" w:eastAsia="Calibri" w:hAnsiTheme="minorHAnsi" w:cstheme="minorHAnsi"/>
          <w:bCs/>
        </w:rPr>
        <w:tab/>
        <w:t>Michael Manspeaker</w:t>
      </w:r>
    </w:p>
    <w:p w14:paraId="3E270010" w14:textId="0F4716B8" w:rsidR="00CE0661" w:rsidRDefault="00CE0661" w:rsidP="008C4DA0">
      <w:pPr>
        <w:ind w:left="2880" w:hanging="2880"/>
        <w:rPr>
          <w:rFonts w:asciiTheme="minorHAnsi" w:eastAsia="Calibri" w:hAnsiTheme="minorHAnsi" w:cstheme="minorHAnsi"/>
          <w:bCs/>
        </w:rPr>
      </w:pPr>
      <w:r>
        <w:rPr>
          <w:rFonts w:asciiTheme="minorHAnsi" w:eastAsia="Calibri" w:hAnsiTheme="minorHAnsi" w:cstheme="minorHAnsi"/>
          <w:bCs/>
        </w:rPr>
        <w:tab/>
        <w:t>Yehuda Tenehbaum</w:t>
      </w:r>
    </w:p>
    <w:p w14:paraId="55A5E10C" w14:textId="16D647F2" w:rsidR="00CE0661" w:rsidRDefault="00CE0661" w:rsidP="008C4DA0">
      <w:pPr>
        <w:ind w:left="2880" w:hanging="2880"/>
        <w:rPr>
          <w:rFonts w:asciiTheme="minorHAnsi" w:eastAsia="Calibri" w:hAnsiTheme="minorHAnsi" w:cstheme="minorHAnsi"/>
          <w:bCs/>
        </w:rPr>
      </w:pPr>
      <w:r>
        <w:rPr>
          <w:rFonts w:asciiTheme="minorHAnsi" w:eastAsia="Calibri" w:hAnsiTheme="minorHAnsi" w:cstheme="minorHAnsi"/>
          <w:bCs/>
        </w:rPr>
        <w:tab/>
        <w:t>Devki Virk</w:t>
      </w:r>
    </w:p>
    <w:p w14:paraId="5C35111C" w14:textId="23E3D4E0" w:rsidR="00CE0661" w:rsidRPr="00276C95" w:rsidRDefault="00CE0661" w:rsidP="008C4DA0">
      <w:pPr>
        <w:ind w:left="2880" w:hanging="2880"/>
        <w:rPr>
          <w:rFonts w:asciiTheme="minorHAnsi" w:eastAsia="Calibri" w:hAnsiTheme="minorHAnsi" w:cstheme="minorHAnsi"/>
          <w:bCs/>
        </w:rPr>
      </w:pPr>
      <w:r>
        <w:rPr>
          <w:rFonts w:asciiTheme="minorHAnsi" w:eastAsia="Calibri" w:hAnsiTheme="minorHAnsi" w:cstheme="minorHAnsi"/>
          <w:bCs/>
        </w:rPr>
        <w:tab/>
      </w:r>
    </w:p>
    <w:p w14:paraId="37C0F969" w14:textId="0CF51D88" w:rsidR="00E94037" w:rsidRPr="00276C95" w:rsidRDefault="00E94037" w:rsidP="008C4DA0">
      <w:pPr>
        <w:ind w:left="2880" w:hanging="2880"/>
        <w:rPr>
          <w:rFonts w:asciiTheme="minorHAnsi" w:eastAsia="Calibri" w:hAnsiTheme="minorHAnsi" w:cstheme="minorHAnsi"/>
          <w:bCs/>
        </w:rPr>
      </w:pPr>
      <w:r w:rsidRPr="00276C95">
        <w:rPr>
          <w:rFonts w:asciiTheme="minorHAnsi" w:eastAsia="Calibri" w:hAnsiTheme="minorHAnsi" w:cstheme="minorHAnsi"/>
          <w:bCs/>
        </w:rPr>
        <w:tab/>
      </w:r>
    </w:p>
    <w:p w14:paraId="43500ED5" w14:textId="58F7D17A" w:rsidR="004C4525" w:rsidRPr="00276C95" w:rsidRDefault="00E94037" w:rsidP="008C4DA0">
      <w:pPr>
        <w:ind w:left="2880" w:hanging="2880"/>
        <w:rPr>
          <w:rFonts w:asciiTheme="minorHAnsi" w:eastAsia="Calibri" w:hAnsiTheme="minorHAnsi" w:cstheme="minorHAnsi"/>
          <w:bCs/>
        </w:rPr>
      </w:pPr>
      <w:r w:rsidRPr="00276C95">
        <w:rPr>
          <w:rFonts w:asciiTheme="minorHAnsi" w:eastAsia="Calibri" w:hAnsiTheme="minorHAnsi" w:cstheme="minorHAnsi"/>
          <w:bCs/>
        </w:rPr>
        <w:tab/>
      </w:r>
    </w:p>
    <w:p w14:paraId="485555D9" w14:textId="41F27807" w:rsidR="00193038" w:rsidRPr="00276C95" w:rsidRDefault="008C1C12" w:rsidP="00606E9B">
      <w:pPr>
        <w:ind w:left="2880" w:hanging="2880"/>
        <w:rPr>
          <w:rFonts w:asciiTheme="minorHAnsi" w:eastAsia="Calibri" w:hAnsiTheme="minorHAnsi" w:cstheme="minorHAnsi"/>
          <w:bCs/>
        </w:rPr>
      </w:pPr>
      <w:r w:rsidRPr="00276C95">
        <w:rPr>
          <w:rFonts w:asciiTheme="minorHAnsi" w:eastAsia="Calibri" w:hAnsiTheme="minorHAnsi" w:cstheme="minorHAnsi"/>
          <w:bCs/>
        </w:rPr>
        <w:tab/>
      </w:r>
    </w:p>
    <w:p w14:paraId="307D3CD0" w14:textId="1E847263" w:rsidR="00AE6F5F" w:rsidRPr="00276C95" w:rsidRDefault="00CE0661" w:rsidP="00AE6F5F">
      <w:pPr>
        <w:rPr>
          <w:rFonts w:asciiTheme="minorHAnsi" w:eastAsia="Calibri" w:hAnsiTheme="minorHAnsi" w:cstheme="minorHAnsi"/>
        </w:rPr>
      </w:pPr>
      <w:r>
        <w:rPr>
          <w:rFonts w:asciiTheme="minorHAnsi" w:eastAsia="Calibri" w:hAnsiTheme="minorHAnsi" w:cstheme="minorHAnsi"/>
        </w:rPr>
        <w:t>February 3</w:t>
      </w:r>
      <w:r w:rsidR="005E2DD6" w:rsidRPr="00276C95">
        <w:rPr>
          <w:rFonts w:asciiTheme="minorHAnsi" w:eastAsia="Calibri" w:hAnsiTheme="minorHAnsi" w:cstheme="minorHAnsi"/>
        </w:rPr>
        <w:t>,</w:t>
      </w:r>
      <w:r w:rsidR="006E04FC" w:rsidRPr="00276C95">
        <w:rPr>
          <w:rFonts w:asciiTheme="minorHAnsi" w:eastAsia="Calibri" w:hAnsiTheme="minorHAnsi" w:cstheme="minorHAnsi"/>
        </w:rPr>
        <w:t xml:space="preserve"> 2026,</w:t>
      </w:r>
      <w:r w:rsidR="00AE6F5F" w:rsidRPr="00276C95">
        <w:rPr>
          <w:rFonts w:asciiTheme="minorHAnsi" w:eastAsia="Calibri" w:hAnsiTheme="minorHAnsi" w:cstheme="minorHAnsi"/>
        </w:rPr>
        <w:t xml:space="preserve"> </w:t>
      </w:r>
      <w:r w:rsidR="005A7578" w:rsidRPr="00276C95">
        <w:rPr>
          <w:rFonts w:asciiTheme="minorHAnsi" w:eastAsia="Calibri" w:hAnsiTheme="minorHAnsi" w:cstheme="minorHAnsi"/>
        </w:rPr>
        <w:t xml:space="preserve">Maryland Board of Public Accountancy meeting </w:t>
      </w:r>
      <w:r w:rsidR="00AE6F5F" w:rsidRPr="00276C95">
        <w:rPr>
          <w:rFonts w:asciiTheme="minorHAnsi" w:eastAsia="Calibri" w:hAnsiTheme="minorHAnsi" w:cstheme="minorHAnsi"/>
        </w:rPr>
        <w:t xml:space="preserve">was called to order at </w:t>
      </w:r>
      <w:r w:rsidR="003D04D0" w:rsidRPr="00276C95">
        <w:rPr>
          <w:rFonts w:asciiTheme="minorHAnsi" w:eastAsia="Calibri" w:hAnsiTheme="minorHAnsi" w:cstheme="minorHAnsi"/>
        </w:rPr>
        <w:t>9:0</w:t>
      </w:r>
      <w:r>
        <w:rPr>
          <w:rFonts w:asciiTheme="minorHAnsi" w:eastAsia="Calibri" w:hAnsiTheme="minorHAnsi" w:cstheme="minorHAnsi"/>
        </w:rPr>
        <w:t>3</w:t>
      </w:r>
      <w:r w:rsidR="00606E9B" w:rsidRPr="00276C95">
        <w:rPr>
          <w:rFonts w:asciiTheme="minorHAnsi" w:eastAsia="Calibri" w:hAnsiTheme="minorHAnsi" w:cstheme="minorHAnsi"/>
        </w:rPr>
        <w:t xml:space="preserve"> </w:t>
      </w:r>
      <w:r w:rsidR="003D04D0" w:rsidRPr="00276C95">
        <w:rPr>
          <w:rFonts w:asciiTheme="minorHAnsi" w:eastAsia="Calibri" w:hAnsiTheme="minorHAnsi" w:cstheme="minorHAnsi"/>
        </w:rPr>
        <w:t>AM</w:t>
      </w:r>
      <w:r w:rsidR="00AE6F5F" w:rsidRPr="00276C95">
        <w:rPr>
          <w:rFonts w:asciiTheme="minorHAnsi" w:eastAsia="Calibri" w:hAnsiTheme="minorHAnsi" w:cstheme="minorHAnsi"/>
        </w:rPr>
        <w:t xml:space="preserve"> by</w:t>
      </w:r>
      <w:r w:rsidR="00816016" w:rsidRPr="00276C95">
        <w:rPr>
          <w:rFonts w:asciiTheme="minorHAnsi" w:eastAsia="Calibri" w:hAnsiTheme="minorHAnsi" w:cstheme="minorHAnsi"/>
        </w:rPr>
        <w:t xml:space="preserve"> </w:t>
      </w:r>
      <w:r w:rsidR="00E94037" w:rsidRPr="00276C95">
        <w:rPr>
          <w:rFonts w:asciiTheme="minorHAnsi" w:eastAsia="Calibri" w:hAnsiTheme="minorHAnsi" w:cstheme="minorHAnsi"/>
        </w:rPr>
        <w:t xml:space="preserve">Mr. </w:t>
      </w:r>
      <w:r w:rsidR="005A2068" w:rsidRPr="00276C95">
        <w:rPr>
          <w:rFonts w:asciiTheme="minorHAnsi" w:eastAsia="Calibri" w:hAnsiTheme="minorHAnsi" w:cstheme="minorHAnsi"/>
        </w:rPr>
        <w:t>Jeff Wilson</w:t>
      </w:r>
      <w:r w:rsidR="00BD1B6D">
        <w:rPr>
          <w:rFonts w:asciiTheme="minorHAnsi" w:eastAsia="Calibri" w:hAnsiTheme="minorHAnsi" w:cstheme="minorHAnsi"/>
        </w:rPr>
        <w:t xml:space="preserve"> II</w:t>
      </w:r>
      <w:r w:rsidR="00234735" w:rsidRPr="00276C95">
        <w:rPr>
          <w:rFonts w:asciiTheme="minorHAnsi" w:eastAsia="Calibri" w:hAnsiTheme="minorHAnsi" w:cstheme="minorHAnsi"/>
        </w:rPr>
        <w:t>, Chair</w:t>
      </w:r>
      <w:r w:rsidR="00AE6F5F" w:rsidRPr="00276C95">
        <w:rPr>
          <w:rFonts w:asciiTheme="minorHAnsi" w:eastAsia="Calibri" w:hAnsiTheme="minorHAnsi" w:cstheme="minorHAnsi"/>
        </w:rPr>
        <w:t>.</w:t>
      </w:r>
    </w:p>
    <w:p w14:paraId="4F92B4DA" w14:textId="77777777" w:rsidR="00AE6F5F" w:rsidRPr="00276C95" w:rsidRDefault="00AE6F5F" w:rsidP="00AE6F5F">
      <w:pPr>
        <w:rPr>
          <w:rFonts w:asciiTheme="minorHAnsi" w:eastAsia="Calibri" w:hAnsiTheme="minorHAnsi" w:cstheme="minorHAnsi"/>
          <w:bCs/>
        </w:rPr>
      </w:pPr>
    </w:p>
    <w:p w14:paraId="7F9F0831" w14:textId="77777777" w:rsidR="00E63C2C" w:rsidRPr="00276C95" w:rsidRDefault="00E63C2C" w:rsidP="00AE6F5F">
      <w:pPr>
        <w:rPr>
          <w:rFonts w:asciiTheme="minorHAnsi" w:eastAsia="Calibri" w:hAnsiTheme="minorHAnsi" w:cstheme="minorHAnsi"/>
          <w:b/>
        </w:rPr>
      </w:pPr>
    </w:p>
    <w:p w14:paraId="1AF56D5C" w14:textId="4B902514" w:rsidR="00AE6F5F" w:rsidRPr="00C663F3" w:rsidRDefault="00AE6F5F" w:rsidP="00C663F3">
      <w:pPr>
        <w:pStyle w:val="Heading2"/>
        <w:rPr>
          <w:rFonts w:asciiTheme="minorHAnsi" w:hAnsiTheme="minorHAnsi"/>
          <w:b/>
          <w:bCs/>
          <w:i w:val="0"/>
          <w:iCs/>
          <w:u w:val="none"/>
        </w:rPr>
      </w:pPr>
      <w:r w:rsidRPr="00C663F3">
        <w:rPr>
          <w:rFonts w:asciiTheme="minorHAnsi" w:hAnsiTheme="minorHAnsi"/>
          <w:b/>
          <w:bCs/>
          <w:i w:val="0"/>
          <w:iCs/>
          <w:u w:val="none"/>
        </w:rPr>
        <w:t>Chairman’s Report</w:t>
      </w:r>
    </w:p>
    <w:p w14:paraId="6819A591" w14:textId="36AAA6DD" w:rsidR="00F6492A" w:rsidRPr="00276C95" w:rsidRDefault="00F6492A" w:rsidP="00AE6F5F">
      <w:pPr>
        <w:rPr>
          <w:rFonts w:asciiTheme="minorHAnsi" w:eastAsia="Calibri" w:hAnsiTheme="minorHAnsi" w:cstheme="minorHAnsi"/>
          <w:b/>
        </w:rPr>
      </w:pPr>
      <w:r w:rsidRPr="00276C95">
        <w:rPr>
          <w:rFonts w:asciiTheme="minorHAnsi" w:eastAsia="Calibri" w:hAnsiTheme="minorHAnsi" w:cstheme="minorHAnsi"/>
          <w:b/>
        </w:rPr>
        <w:t>Jeff Wilson</w:t>
      </w:r>
      <w:r w:rsidR="00BD1B6D">
        <w:rPr>
          <w:rFonts w:asciiTheme="minorHAnsi" w:eastAsia="Calibri" w:hAnsiTheme="minorHAnsi" w:cstheme="minorHAnsi"/>
          <w:b/>
        </w:rPr>
        <w:t xml:space="preserve"> II</w:t>
      </w:r>
    </w:p>
    <w:p w14:paraId="2ABF83AD" w14:textId="77777777" w:rsidR="00B2145A" w:rsidRDefault="00B2145A" w:rsidP="00B2145A">
      <w:pPr>
        <w:pStyle w:val="NormalWeb"/>
      </w:pPr>
      <w:r>
        <w:t xml:space="preserve">The Chairman reported that he has begun meeting individually with Board members and is continuing those meetings to discuss </w:t>
      </w:r>
      <w:r>
        <w:rPr>
          <w:rStyle w:val="Strong"/>
        </w:rPr>
        <w:t>Board priorities for 2026</w:t>
      </w:r>
      <w:r>
        <w:t>. He stated that, although the meetings are still ongoing, several consistent themes have emerged from these discussions.</w:t>
      </w:r>
    </w:p>
    <w:p w14:paraId="102B3D9F" w14:textId="77777777" w:rsidR="00B2145A" w:rsidRDefault="00B2145A" w:rsidP="00B2145A">
      <w:pPr>
        <w:pStyle w:val="NormalWeb"/>
      </w:pPr>
      <w:r>
        <w:t xml:space="preserve">The Chairman noted that a key priority for 2026 will be improving </w:t>
      </w:r>
      <w:r>
        <w:rPr>
          <w:rStyle w:val="Strong"/>
        </w:rPr>
        <w:t>clarity, consistency, and transparency</w:t>
      </w:r>
      <w:r>
        <w:t xml:space="preserve"> across multiple aspects of the Board’s work. To support this objective, the Board anticipates engaging in </w:t>
      </w:r>
      <w:r>
        <w:rPr>
          <w:rStyle w:val="Strong"/>
        </w:rPr>
        <w:t>targeted working groups or task force efforts</w:t>
      </w:r>
      <w:r>
        <w:t xml:space="preserve"> throughout the year to address specific procedural and policy areas. These efforts are intended to strengthen institutional continuity, particularly given regular changes in Board membership and the absence of comprehensive written internal guidance for new members.</w:t>
      </w:r>
    </w:p>
    <w:p w14:paraId="65E7B1F5" w14:textId="77777777" w:rsidR="00B2145A" w:rsidRDefault="00B2145A" w:rsidP="00B2145A">
      <w:pPr>
        <w:pStyle w:val="NormalWeb"/>
      </w:pPr>
      <w:r>
        <w:t xml:space="preserve">The Chairman identified one priority area related to the </w:t>
      </w:r>
      <w:r>
        <w:rPr>
          <w:rStyle w:val="Strong"/>
        </w:rPr>
        <w:t>complaint review and disciplinary process</w:t>
      </w:r>
      <w:r>
        <w:t>. He explained that while statutory and regulatory frameworks exist for complaint intake and evaluation, and staff administers those processes effectively, the Board does not currently maintain an internal guidance document outlining how complaints are evaluated at the Board level, including considerations related to severity, penalties, and fines. The Chairman stated that Mr. Jeffery Lawson, as Chair of the Complaint Committee, will assist in leading this effort. The goal is to develop non-regulatory internal guidelines to promote consistency in Board decisions, support proportional disciplinary outcomes, and provide future Board members with a clear reference point regarding past practices. No formal timeline has been established, as the scope of work is still being defined and multiple initiatives are underway.</w:t>
      </w:r>
    </w:p>
    <w:p w14:paraId="04A302DD" w14:textId="77777777" w:rsidR="00B2145A" w:rsidRDefault="00B2145A" w:rsidP="00B2145A">
      <w:pPr>
        <w:pStyle w:val="NormalWeb"/>
      </w:pPr>
      <w:r>
        <w:t xml:space="preserve">The Chairman next discussed efforts to improve clarity regarding </w:t>
      </w:r>
      <w:r>
        <w:rPr>
          <w:rStyle w:val="Strong"/>
        </w:rPr>
        <w:t>education and continuing professional education requirements</w:t>
      </w:r>
      <w:r>
        <w:t>. He reported that, following discussions with Board members, including Ms. Sotka, the Board intends to review the clarity of information provided to applicants and licensees, including materials on the Board’s website. The objective is to reduce ambiguity regarding whether coursework will satisfy licensure requirements and to make the path to CPA licensure in Maryland more transparent. Current and former Education Committee members will assist in assessing existing guidance on acceptable coursework and identifying opportunities for improvement. Particular attention will be given to coursework related to federal and state government accounting, given Maryland’s proximity to government institutions and the structure of certain academic curricula.</w:t>
      </w:r>
    </w:p>
    <w:p w14:paraId="7CB17940" w14:textId="77777777" w:rsidR="00B2145A" w:rsidRDefault="00B2145A" w:rsidP="00B2145A">
      <w:pPr>
        <w:pStyle w:val="NormalWeb"/>
      </w:pPr>
      <w:r>
        <w:t xml:space="preserve">The Chairman then provided an update on the </w:t>
      </w:r>
      <w:r>
        <w:rPr>
          <w:rStyle w:val="Strong"/>
        </w:rPr>
        <w:t>NASBA and AICPA exposure draft regarding alternative practice structures</w:t>
      </w:r>
      <w:r>
        <w:t>. He advised that NASBA will host a webinar on February 4, 2026, at 2:00 p.m. Central Time to discuss the exposure draft. The Chairman stated that he plans to attend the webinar to gain a better understanding of the proposed changes and to provide informed feedback to the Board. He noted that alternative practice structures have been a recurring topic on the Board’s agenda and explained that prior discussions focused on understanding the prevalence of such structures in Maryland, including private equity involvement, in order to assess potential risks without being unduly intrusive.</w:t>
      </w:r>
    </w:p>
    <w:p w14:paraId="3F858975" w14:textId="77777777" w:rsidR="00B2145A" w:rsidRDefault="00B2145A" w:rsidP="00B2145A">
      <w:pPr>
        <w:pStyle w:val="NormalWeb"/>
      </w:pPr>
      <w:r>
        <w:t xml:space="preserve">The Chairman explained that the exposure draft primarily addresses </w:t>
      </w:r>
      <w:r>
        <w:rPr>
          <w:rStyle w:val="Strong"/>
        </w:rPr>
        <w:t>independence considerations</w:t>
      </w:r>
      <w:r>
        <w:t xml:space="preserve">, including relationships and circumstances that may impair independence, </w:t>
      </w:r>
      <w:r>
        <w:lastRenderedPageBreak/>
        <w:t>particularly in the context of private equity investment, significant influence, and control. He stated that this will likely be an ongoing issue and that changes to standards may take time.</w:t>
      </w:r>
    </w:p>
    <w:p w14:paraId="00F71511" w14:textId="77777777" w:rsidR="00B2145A" w:rsidRDefault="00B2145A" w:rsidP="00B2145A">
      <w:pPr>
        <w:pStyle w:val="NormalWeb"/>
      </w:pPr>
      <w:r>
        <w:t xml:space="preserve">The Chairman also reported that he attended the </w:t>
      </w:r>
      <w:r>
        <w:rPr>
          <w:rStyle w:val="Strong"/>
        </w:rPr>
        <w:t>AICPA Private Companies Practice Section (PCPS) Executive Committee meeting</w:t>
      </w:r>
      <w:r>
        <w:t xml:space="preserve"> the previous month. He shared data presented at that meeting regarding merger and acquisition activity among the top 500 U.S. accounting firms. According to information shared, there were approximately 172 transactions in 2023, 159 transactions in 2025, and 149 in a later reporting period, suggesting that transactional activity may not be increasing at the level sometimes reflected in public reporting. The Chairman noted that the data was preliminary and not fully verified.</w:t>
      </w:r>
    </w:p>
    <w:p w14:paraId="21EFCC33" w14:textId="77777777" w:rsidR="00B2145A" w:rsidRDefault="00B2145A" w:rsidP="00B2145A">
      <w:pPr>
        <w:pStyle w:val="NormalWeb"/>
      </w:pPr>
      <w:r>
        <w:t xml:space="preserve">Finally, the Chairman addressed </w:t>
      </w:r>
      <w:r>
        <w:rPr>
          <w:rStyle w:val="Strong"/>
        </w:rPr>
        <w:t>artificial intelligence and its impact on the profession</w:t>
      </w:r>
      <w:r>
        <w:t xml:space="preserve">, emphasizing its relevance to ethics, regulation, and the future CPA workforce. He noted that AI adoption is accelerating and must be considered both from an employment and regulatory perspective, particularly with respect to professional judgment and independence. The Chairman advised that the AICPA has launched a generative AI assistant designed for accounting and audit firms, known as </w:t>
      </w:r>
      <w:r>
        <w:rPr>
          <w:rStyle w:val="Emphasis"/>
        </w:rPr>
        <w:t>JESSE</w:t>
      </w:r>
      <w:r>
        <w:t>, to support professional work. He emphasized the importance of monitoring AI use to ensure that professional judgment and due diligence are maintained.</w:t>
      </w:r>
    </w:p>
    <w:p w14:paraId="07797BA7" w14:textId="77777777" w:rsidR="00B2145A" w:rsidRDefault="00B2145A" w:rsidP="00B2145A">
      <w:pPr>
        <w:pStyle w:val="NormalWeb"/>
      </w:pPr>
      <w:r>
        <w:t>The Chairman concluded his report and stated that the meeting would proceed to the Executive Director’s Report.</w:t>
      </w:r>
    </w:p>
    <w:p w14:paraId="2C68FDC9" w14:textId="77777777" w:rsidR="00AB2DEE" w:rsidRPr="00276C95" w:rsidRDefault="00AB2DEE" w:rsidP="00AE6F5F">
      <w:pPr>
        <w:rPr>
          <w:rFonts w:asciiTheme="minorHAnsi" w:eastAsia="Calibri" w:hAnsiTheme="minorHAnsi" w:cstheme="minorHAnsi"/>
          <w:bCs/>
        </w:rPr>
      </w:pPr>
    </w:p>
    <w:p w14:paraId="2B1AA521" w14:textId="77777777" w:rsidR="00CD32CF" w:rsidRPr="00C663F3" w:rsidRDefault="00AE6F5F" w:rsidP="00C663F3">
      <w:pPr>
        <w:pStyle w:val="Heading2"/>
        <w:rPr>
          <w:rFonts w:asciiTheme="minorHAnsi" w:hAnsiTheme="minorHAnsi"/>
          <w:b/>
          <w:bCs/>
          <w:i w:val="0"/>
          <w:iCs/>
          <w:sz w:val="22"/>
          <w:szCs w:val="22"/>
          <w:u w:val="none"/>
        </w:rPr>
      </w:pPr>
      <w:r w:rsidRPr="00C663F3">
        <w:rPr>
          <w:rFonts w:asciiTheme="minorHAnsi" w:hAnsiTheme="minorHAnsi"/>
          <w:b/>
          <w:bCs/>
          <w:i w:val="0"/>
          <w:iCs/>
          <w:sz w:val="22"/>
          <w:szCs w:val="22"/>
          <w:u w:val="none"/>
        </w:rPr>
        <w:t>Executive Director’s Report</w:t>
      </w:r>
    </w:p>
    <w:p w14:paraId="03B0C3DC" w14:textId="77777777" w:rsidR="00B2145A" w:rsidRDefault="00CD32CF" w:rsidP="00B2145A">
      <w:pPr>
        <w:pStyle w:val="NormalWeb"/>
      </w:pPr>
      <w:r w:rsidRPr="00276C95">
        <w:rPr>
          <w:rFonts w:asciiTheme="minorHAnsi" w:hAnsiTheme="minorHAnsi"/>
          <w:b/>
          <w:bCs/>
          <w:sz w:val="27"/>
          <w:szCs w:val="27"/>
        </w:rPr>
        <w:t xml:space="preserve"> </w:t>
      </w:r>
      <w:r w:rsidR="00B2145A">
        <w:t xml:space="preserve">The Executive Director reminded Board members that their </w:t>
      </w:r>
      <w:r w:rsidR="00B2145A">
        <w:rPr>
          <w:rStyle w:val="Strong"/>
        </w:rPr>
        <w:t>annual ethics filing is due by April 1</w:t>
      </w:r>
      <w:r w:rsidR="00B2145A">
        <w:t>. He stated that Board members should have received an email containing the filing information and advised that any member who did not receive the email should notify him so that the link can be provided. The Executive Director noted that he is also required to complete the annual ethics filing.</w:t>
      </w:r>
    </w:p>
    <w:p w14:paraId="2F568521" w14:textId="77777777" w:rsidR="00B2145A" w:rsidRDefault="00B2145A" w:rsidP="00B2145A">
      <w:pPr>
        <w:pStyle w:val="NormalWeb"/>
      </w:pPr>
      <w:r>
        <w:t xml:space="preserve">The Executive Director next advised the Board that the </w:t>
      </w:r>
      <w:r>
        <w:rPr>
          <w:rStyle w:val="Strong"/>
        </w:rPr>
        <w:t>NASBA Conference for Executive Directors, Board Staff, Legal Counsel, and State Society CEOs</w:t>
      </w:r>
      <w:r>
        <w:t xml:space="preserve"> will be held in </w:t>
      </w:r>
      <w:r>
        <w:rPr>
          <w:rStyle w:val="Strong"/>
        </w:rPr>
        <w:t>Austin, Texas, from March 24 through March 26</w:t>
      </w:r>
      <w:r>
        <w:t>. He stated that he plans to attend the conference, along with Ms. McNeel and the Board’s legal counsel, Mr. Robert Pambianco. He noted that the conference is expected to be a valuable experience.</w:t>
      </w:r>
    </w:p>
    <w:p w14:paraId="253E1204" w14:textId="77777777" w:rsidR="00B2145A" w:rsidRDefault="00B2145A" w:rsidP="00B2145A">
      <w:pPr>
        <w:pStyle w:val="NormalWeb"/>
      </w:pPr>
      <w:r>
        <w:t>The Executive Director concluded his report. No questions were raised.</w:t>
      </w:r>
    </w:p>
    <w:p w14:paraId="5063BD1F" w14:textId="0E454FB5" w:rsidR="008F388B" w:rsidRPr="00276C95" w:rsidRDefault="008F388B" w:rsidP="00AE6F5F">
      <w:pPr>
        <w:rPr>
          <w:rFonts w:asciiTheme="minorHAnsi" w:hAnsiTheme="minorHAnsi" w:cs="Arial"/>
          <w:color w:val="222222"/>
          <w:shd w:val="clear" w:color="auto" w:fill="FFFFFF"/>
        </w:rPr>
      </w:pPr>
    </w:p>
    <w:p w14:paraId="228B0677" w14:textId="7F99F548" w:rsidR="00AE6F5F" w:rsidRPr="00C663F3" w:rsidRDefault="00AE6F5F" w:rsidP="00C663F3">
      <w:pPr>
        <w:pStyle w:val="Heading2"/>
        <w:rPr>
          <w:rFonts w:asciiTheme="minorHAnsi" w:hAnsiTheme="minorHAnsi"/>
          <w:b/>
          <w:bCs/>
          <w:i w:val="0"/>
          <w:iCs/>
          <w:sz w:val="20"/>
          <w:szCs w:val="20"/>
          <w:u w:val="none"/>
        </w:rPr>
      </w:pPr>
      <w:r w:rsidRPr="00C663F3">
        <w:rPr>
          <w:rFonts w:asciiTheme="minorHAnsi" w:hAnsiTheme="minorHAnsi"/>
          <w:b/>
          <w:bCs/>
          <w:i w:val="0"/>
          <w:iCs/>
          <w:sz w:val="20"/>
          <w:szCs w:val="20"/>
          <w:u w:val="none"/>
        </w:rPr>
        <w:t>Exam Appeals</w:t>
      </w:r>
    </w:p>
    <w:p w14:paraId="12BBD1FC" w14:textId="096E9FB9" w:rsidR="00322D42" w:rsidRPr="00276C95" w:rsidRDefault="00027DE6" w:rsidP="00AE6F5F">
      <w:pPr>
        <w:rPr>
          <w:rFonts w:asciiTheme="minorHAnsi" w:eastAsia="Calibri" w:hAnsiTheme="minorHAnsi" w:cstheme="minorHAnsi"/>
        </w:rPr>
      </w:pPr>
      <w:r w:rsidRPr="00276C95">
        <w:rPr>
          <w:rFonts w:asciiTheme="minorHAnsi" w:eastAsia="Calibri" w:hAnsiTheme="minorHAnsi" w:cstheme="minorHAnsi"/>
        </w:rPr>
        <w:t xml:space="preserve">There </w:t>
      </w:r>
      <w:r w:rsidR="001F36B4" w:rsidRPr="00276C95">
        <w:rPr>
          <w:rFonts w:asciiTheme="minorHAnsi" w:eastAsia="Calibri" w:hAnsiTheme="minorHAnsi" w:cstheme="minorHAnsi"/>
        </w:rPr>
        <w:t xml:space="preserve">were </w:t>
      </w:r>
      <w:r w:rsidR="00C93D98" w:rsidRPr="00276C95">
        <w:rPr>
          <w:rFonts w:asciiTheme="minorHAnsi" w:eastAsia="Calibri" w:hAnsiTheme="minorHAnsi" w:cstheme="minorHAnsi"/>
        </w:rPr>
        <w:t>zero</w:t>
      </w:r>
      <w:r w:rsidR="001F36B4" w:rsidRPr="00276C95">
        <w:rPr>
          <w:rFonts w:asciiTheme="minorHAnsi" w:eastAsia="Calibri" w:hAnsiTheme="minorHAnsi" w:cstheme="minorHAnsi"/>
        </w:rPr>
        <w:t xml:space="preserve"> (0) Exam Appeals</w:t>
      </w:r>
    </w:p>
    <w:p w14:paraId="63099AF6" w14:textId="77777777" w:rsidR="00AE6F5F" w:rsidRPr="00276C95" w:rsidRDefault="00AE6F5F" w:rsidP="00AE6F5F">
      <w:pPr>
        <w:rPr>
          <w:rFonts w:asciiTheme="minorHAnsi" w:eastAsia="Calibri" w:hAnsiTheme="minorHAnsi" w:cstheme="minorHAnsi"/>
        </w:rPr>
      </w:pPr>
    </w:p>
    <w:p w14:paraId="028AB86C" w14:textId="34FAE5F7" w:rsidR="00AE6F5F" w:rsidRPr="00C663F3" w:rsidRDefault="00DC2087" w:rsidP="00C663F3">
      <w:pPr>
        <w:pStyle w:val="Heading2"/>
        <w:rPr>
          <w:rFonts w:asciiTheme="minorHAnsi" w:hAnsiTheme="minorHAnsi"/>
          <w:b/>
          <w:bCs/>
          <w:i w:val="0"/>
          <w:iCs/>
          <w:sz w:val="22"/>
          <w:szCs w:val="22"/>
          <w:u w:val="none"/>
        </w:rPr>
      </w:pPr>
      <w:r w:rsidRPr="00C663F3">
        <w:rPr>
          <w:rFonts w:asciiTheme="minorHAnsi" w:hAnsiTheme="minorHAnsi"/>
          <w:b/>
          <w:bCs/>
          <w:i w:val="0"/>
          <w:iCs/>
          <w:sz w:val="22"/>
          <w:szCs w:val="22"/>
          <w:u w:val="none"/>
        </w:rPr>
        <w:t xml:space="preserve">Committee </w:t>
      </w:r>
      <w:r w:rsidR="00AE6F5F" w:rsidRPr="00C663F3">
        <w:rPr>
          <w:rFonts w:asciiTheme="minorHAnsi" w:hAnsiTheme="minorHAnsi"/>
          <w:b/>
          <w:bCs/>
          <w:i w:val="0"/>
          <w:iCs/>
          <w:sz w:val="22"/>
          <w:szCs w:val="22"/>
          <w:u w:val="none"/>
        </w:rPr>
        <w:t>Report</w:t>
      </w:r>
      <w:r w:rsidR="002E4DA5" w:rsidRPr="00C663F3">
        <w:rPr>
          <w:rFonts w:asciiTheme="minorHAnsi" w:hAnsiTheme="minorHAnsi"/>
          <w:b/>
          <w:bCs/>
          <w:i w:val="0"/>
          <w:iCs/>
          <w:sz w:val="22"/>
          <w:szCs w:val="22"/>
          <w:u w:val="none"/>
        </w:rPr>
        <w:t xml:space="preserve"> Numbers</w:t>
      </w:r>
    </w:p>
    <w:p w14:paraId="2755BCA0" w14:textId="77777777" w:rsidR="00A72CE0" w:rsidRPr="00276C95" w:rsidRDefault="00A72CE0" w:rsidP="00AE6F5F">
      <w:pPr>
        <w:rPr>
          <w:rFonts w:asciiTheme="minorHAnsi" w:eastAsia="Calibri" w:hAnsiTheme="minorHAnsi" w:cstheme="minorHAnsi"/>
          <w:b/>
        </w:rPr>
      </w:pPr>
    </w:p>
    <w:p w14:paraId="5E383879" w14:textId="03529722" w:rsidR="00A72CE0" w:rsidRDefault="00A72CE0" w:rsidP="00AE6F5F">
      <w:pPr>
        <w:rPr>
          <w:rFonts w:asciiTheme="minorHAnsi" w:hAnsiTheme="minorHAnsi"/>
          <w:b/>
          <w:bCs/>
        </w:rPr>
      </w:pPr>
      <w:r w:rsidRPr="00276C95">
        <w:rPr>
          <w:rFonts w:asciiTheme="minorHAnsi" w:hAnsiTheme="minorHAnsi"/>
        </w:rPr>
        <w:t xml:space="preserve">The Board </w:t>
      </w:r>
      <w:r w:rsidRPr="00276C95">
        <w:rPr>
          <w:rStyle w:val="Strong"/>
          <w:rFonts w:asciiTheme="minorHAnsi" w:hAnsiTheme="minorHAnsi"/>
          <w:b w:val="0"/>
          <w:bCs w:val="0"/>
        </w:rPr>
        <w:t>review</w:t>
      </w:r>
      <w:r w:rsidR="003044F3">
        <w:rPr>
          <w:rStyle w:val="Strong"/>
          <w:rFonts w:asciiTheme="minorHAnsi" w:hAnsiTheme="minorHAnsi"/>
          <w:b w:val="0"/>
          <w:bCs w:val="0"/>
        </w:rPr>
        <w:t>ed</w:t>
      </w:r>
      <w:r w:rsidRPr="00276C95">
        <w:rPr>
          <w:rStyle w:val="Strong"/>
          <w:rFonts w:asciiTheme="minorHAnsi" w:hAnsiTheme="minorHAnsi"/>
          <w:b w:val="0"/>
          <w:bCs w:val="0"/>
        </w:rPr>
        <w:t xml:space="preserve"> the committee </w:t>
      </w:r>
      <w:r w:rsidR="00727E2E" w:rsidRPr="00276C95">
        <w:rPr>
          <w:rStyle w:val="Strong"/>
          <w:rFonts w:asciiTheme="minorHAnsi" w:hAnsiTheme="minorHAnsi"/>
          <w:b w:val="0"/>
          <w:bCs w:val="0"/>
        </w:rPr>
        <w:t>numbers</w:t>
      </w:r>
      <w:r w:rsidR="003044F3">
        <w:rPr>
          <w:rStyle w:val="Strong"/>
          <w:rFonts w:asciiTheme="minorHAnsi" w:hAnsiTheme="minorHAnsi"/>
          <w:b w:val="0"/>
          <w:bCs w:val="0"/>
        </w:rPr>
        <w:t>, which are provided</w:t>
      </w:r>
      <w:r w:rsidR="00880942">
        <w:rPr>
          <w:rStyle w:val="Strong"/>
          <w:rFonts w:asciiTheme="minorHAnsi" w:hAnsiTheme="minorHAnsi"/>
          <w:b w:val="0"/>
          <w:bCs w:val="0"/>
        </w:rPr>
        <w:t xml:space="preserve"> below</w:t>
      </w:r>
      <w:r w:rsidR="003044F3">
        <w:rPr>
          <w:rStyle w:val="Strong"/>
          <w:rFonts w:asciiTheme="minorHAnsi" w:hAnsiTheme="minorHAnsi"/>
          <w:b w:val="0"/>
          <w:bCs w:val="0"/>
        </w:rPr>
        <w:t>,</w:t>
      </w:r>
      <w:r w:rsidR="00727E2E" w:rsidRPr="00276C95">
        <w:rPr>
          <w:rFonts w:asciiTheme="minorHAnsi" w:hAnsiTheme="minorHAnsi"/>
          <w:b/>
          <w:bCs/>
        </w:rPr>
        <w:t xml:space="preserve"> </w:t>
      </w:r>
      <w:r w:rsidR="00727E2E" w:rsidRPr="00276C95">
        <w:rPr>
          <w:rFonts w:asciiTheme="minorHAnsi" w:hAnsiTheme="minorHAnsi"/>
        </w:rPr>
        <w:t>and</w:t>
      </w:r>
      <w:r w:rsidRPr="00276C95">
        <w:rPr>
          <w:rFonts w:asciiTheme="minorHAnsi" w:hAnsiTheme="minorHAnsi"/>
        </w:rPr>
        <w:t xml:space="preserve"> agreed that discussion will</w:t>
      </w:r>
      <w:r w:rsidRPr="00276C95">
        <w:rPr>
          <w:rFonts w:asciiTheme="minorHAnsi" w:hAnsiTheme="minorHAnsi"/>
          <w:b/>
          <w:bCs/>
        </w:rPr>
        <w:t xml:space="preserve"> </w:t>
      </w:r>
      <w:r w:rsidRPr="00276C95">
        <w:rPr>
          <w:rFonts w:asciiTheme="minorHAnsi" w:hAnsiTheme="minorHAnsi"/>
        </w:rPr>
        <w:t>occur</w:t>
      </w:r>
      <w:r w:rsidRPr="00276C95">
        <w:rPr>
          <w:rFonts w:asciiTheme="minorHAnsi" w:hAnsiTheme="minorHAnsi"/>
          <w:b/>
          <w:bCs/>
        </w:rPr>
        <w:t xml:space="preserve"> </w:t>
      </w:r>
      <w:r w:rsidRPr="00276C95">
        <w:rPr>
          <w:rStyle w:val="Strong"/>
          <w:rFonts w:asciiTheme="minorHAnsi" w:hAnsiTheme="minorHAnsi"/>
          <w:b w:val="0"/>
          <w:bCs w:val="0"/>
        </w:rPr>
        <w:t>only if any issues or discrepancies arise</w:t>
      </w:r>
      <w:r w:rsidRPr="00276C95">
        <w:rPr>
          <w:rFonts w:asciiTheme="minorHAnsi" w:hAnsiTheme="minorHAnsi"/>
          <w:b/>
          <w:bCs/>
        </w:rPr>
        <w:t xml:space="preserve"> </w:t>
      </w:r>
      <w:r w:rsidRPr="00276C95">
        <w:rPr>
          <w:rFonts w:asciiTheme="minorHAnsi" w:hAnsiTheme="minorHAnsi"/>
        </w:rPr>
        <w:t>with the figures</w:t>
      </w:r>
      <w:r w:rsidRPr="00276C95">
        <w:rPr>
          <w:rFonts w:asciiTheme="minorHAnsi" w:hAnsiTheme="minorHAnsi"/>
          <w:b/>
          <w:bCs/>
        </w:rPr>
        <w:t>.</w:t>
      </w:r>
      <w:r w:rsidR="003044F3">
        <w:rPr>
          <w:rFonts w:asciiTheme="minorHAnsi" w:hAnsiTheme="minorHAnsi"/>
          <w:b/>
          <w:bCs/>
        </w:rPr>
        <w:t xml:space="preserve"> </w:t>
      </w:r>
    </w:p>
    <w:p w14:paraId="0575E69B" w14:textId="77777777" w:rsidR="00880942" w:rsidRDefault="00880942" w:rsidP="00880942">
      <w:pPr>
        <w:pStyle w:val="NormalWeb"/>
      </w:pPr>
      <w:r>
        <w:rPr>
          <w:rStyle w:val="Strong"/>
        </w:rPr>
        <w:lastRenderedPageBreak/>
        <w:t>Licensing (Experience) Committee – February</w:t>
      </w:r>
    </w:p>
    <w:p w14:paraId="171C8AFF" w14:textId="77777777" w:rsidR="00880942" w:rsidRDefault="00880942" w:rsidP="00880942">
      <w:pPr>
        <w:pStyle w:val="NormalWeb"/>
        <w:numPr>
          <w:ilvl w:val="0"/>
          <w:numId w:val="29"/>
        </w:numPr>
      </w:pPr>
      <w:r>
        <w:rPr>
          <w:rStyle w:val="Strong"/>
        </w:rPr>
        <w:t>Original License Applications:</w:t>
      </w:r>
    </w:p>
    <w:p w14:paraId="3D0D2570" w14:textId="77777777" w:rsidR="00880942" w:rsidRDefault="00880942" w:rsidP="00880942">
      <w:pPr>
        <w:pStyle w:val="NormalWeb"/>
        <w:numPr>
          <w:ilvl w:val="1"/>
          <w:numId w:val="29"/>
        </w:numPr>
      </w:pPr>
      <w:r>
        <w:t>21 approved</w:t>
      </w:r>
    </w:p>
    <w:p w14:paraId="3C621A7F" w14:textId="77777777" w:rsidR="00880942" w:rsidRDefault="00880942" w:rsidP="00880942">
      <w:pPr>
        <w:pStyle w:val="NormalWeb"/>
        <w:numPr>
          <w:ilvl w:val="1"/>
          <w:numId w:val="29"/>
        </w:numPr>
      </w:pPr>
      <w:r>
        <w:t>0 denied</w:t>
      </w:r>
    </w:p>
    <w:p w14:paraId="1A9F47B1" w14:textId="77777777" w:rsidR="00880942" w:rsidRDefault="00880942" w:rsidP="00880942">
      <w:pPr>
        <w:pStyle w:val="NormalWeb"/>
        <w:numPr>
          <w:ilvl w:val="0"/>
          <w:numId w:val="29"/>
        </w:numPr>
      </w:pPr>
      <w:r>
        <w:rPr>
          <w:rStyle w:val="Strong"/>
        </w:rPr>
        <w:t>Reciprocal License Applications:</w:t>
      </w:r>
    </w:p>
    <w:p w14:paraId="6B8E04B3" w14:textId="77777777" w:rsidR="00880942" w:rsidRDefault="00880942" w:rsidP="00880942">
      <w:pPr>
        <w:pStyle w:val="NormalWeb"/>
        <w:numPr>
          <w:ilvl w:val="1"/>
          <w:numId w:val="29"/>
        </w:numPr>
      </w:pPr>
      <w:r>
        <w:t>4 approved (Virginia – 1; West Virginia – 1; Oklahoma – 1; New York – 1)</w:t>
      </w:r>
    </w:p>
    <w:p w14:paraId="42573818" w14:textId="77777777" w:rsidR="00880942" w:rsidRDefault="00880942" w:rsidP="00880942">
      <w:pPr>
        <w:pStyle w:val="NormalWeb"/>
        <w:numPr>
          <w:ilvl w:val="1"/>
          <w:numId w:val="29"/>
        </w:numPr>
      </w:pPr>
      <w:r>
        <w:t>0 denied</w:t>
      </w:r>
    </w:p>
    <w:p w14:paraId="270FCE4E" w14:textId="77777777" w:rsidR="00880942" w:rsidRDefault="00880942" w:rsidP="00880942">
      <w:pPr>
        <w:pStyle w:val="NormalWeb"/>
      </w:pPr>
      <w:r>
        <w:rPr>
          <w:rStyle w:val="Strong"/>
        </w:rPr>
        <w:t>Firm Permits – February</w:t>
      </w:r>
    </w:p>
    <w:p w14:paraId="246A5B28" w14:textId="77777777" w:rsidR="00880942" w:rsidRDefault="00880942" w:rsidP="00880942">
      <w:pPr>
        <w:pStyle w:val="NormalWeb"/>
        <w:numPr>
          <w:ilvl w:val="0"/>
          <w:numId w:val="30"/>
        </w:numPr>
      </w:pPr>
      <w:r>
        <w:t>0 firm permits approved</w:t>
      </w:r>
    </w:p>
    <w:p w14:paraId="1F37D8B0" w14:textId="77777777" w:rsidR="00880942" w:rsidRDefault="00880942" w:rsidP="00880942">
      <w:pPr>
        <w:pStyle w:val="NormalWeb"/>
        <w:numPr>
          <w:ilvl w:val="0"/>
          <w:numId w:val="30"/>
        </w:numPr>
      </w:pPr>
      <w:r>
        <w:t>0 firms closed</w:t>
      </w:r>
    </w:p>
    <w:p w14:paraId="3C809288" w14:textId="77777777" w:rsidR="00880942" w:rsidRDefault="00880942" w:rsidP="00880942">
      <w:pPr>
        <w:pStyle w:val="NormalWeb"/>
      </w:pPr>
      <w:r>
        <w:rPr>
          <w:rStyle w:val="Strong"/>
        </w:rPr>
        <w:t>Peer Review Committee – February</w:t>
      </w:r>
    </w:p>
    <w:p w14:paraId="2B8246E5" w14:textId="77777777" w:rsidR="00880942" w:rsidRDefault="00880942" w:rsidP="00880942">
      <w:pPr>
        <w:pStyle w:val="NormalWeb"/>
        <w:numPr>
          <w:ilvl w:val="0"/>
          <w:numId w:val="31"/>
        </w:numPr>
      </w:pPr>
      <w:r>
        <w:t>2 newly enrolled firms</w:t>
      </w:r>
    </w:p>
    <w:p w14:paraId="3FE690B7" w14:textId="77777777" w:rsidR="00880942" w:rsidRDefault="00880942" w:rsidP="00880942">
      <w:pPr>
        <w:pStyle w:val="NormalWeb"/>
        <w:numPr>
          <w:ilvl w:val="0"/>
          <w:numId w:val="31"/>
        </w:numPr>
      </w:pPr>
      <w:r>
        <w:t>15 peer reviews accepted</w:t>
      </w:r>
    </w:p>
    <w:p w14:paraId="0B4A87F0" w14:textId="77777777" w:rsidR="00880942" w:rsidRDefault="00880942" w:rsidP="00880942">
      <w:pPr>
        <w:pStyle w:val="NormalWeb"/>
        <w:numPr>
          <w:ilvl w:val="0"/>
          <w:numId w:val="31"/>
        </w:numPr>
      </w:pPr>
      <w:r>
        <w:t>3 first-time passes with deficiencies</w:t>
      </w:r>
    </w:p>
    <w:p w14:paraId="454DB24B" w14:textId="77777777" w:rsidR="00880942" w:rsidRDefault="00880942" w:rsidP="00880942">
      <w:pPr>
        <w:pStyle w:val="NormalWeb"/>
        <w:numPr>
          <w:ilvl w:val="0"/>
          <w:numId w:val="31"/>
        </w:numPr>
      </w:pPr>
      <w:r>
        <w:t>0 first-time failures</w:t>
      </w:r>
    </w:p>
    <w:p w14:paraId="50BDB240" w14:textId="77777777" w:rsidR="00880942" w:rsidRDefault="00880942" w:rsidP="00880942">
      <w:pPr>
        <w:pStyle w:val="NormalWeb"/>
        <w:numPr>
          <w:ilvl w:val="0"/>
          <w:numId w:val="31"/>
        </w:numPr>
      </w:pPr>
      <w:r>
        <w:t>1 firm dropped or terminated</w:t>
      </w:r>
    </w:p>
    <w:p w14:paraId="33844FF2" w14:textId="77777777" w:rsidR="00E63C2C" w:rsidRPr="00276C95" w:rsidRDefault="00E63C2C" w:rsidP="00AE6F5F">
      <w:pPr>
        <w:rPr>
          <w:rFonts w:asciiTheme="minorHAnsi" w:eastAsia="Calibri" w:hAnsiTheme="minorHAnsi" w:cstheme="minorHAnsi"/>
          <w:b/>
          <w:bCs/>
        </w:rPr>
      </w:pPr>
    </w:p>
    <w:p w14:paraId="61500F43" w14:textId="77777777" w:rsidR="005E431C" w:rsidRPr="005E431C" w:rsidRDefault="005E431C" w:rsidP="005E431C">
      <w:pPr>
        <w:spacing w:before="100" w:beforeAutospacing="1" w:after="100" w:afterAutospacing="1"/>
        <w:jc w:val="left"/>
        <w:outlineLvl w:val="2"/>
        <w:rPr>
          <w:rFonts w:ascii="Times New Roman" w:eastAsia="Times New Roman" w:hAnsi="Times New Roman" w:cs="Times New Roman"/>
          <w:b/>
          <w:bCs/>
          <w:sz w:val="27"/>
          <w:szCs w:val="27"/>
          <w:lang w:val="en-US"/>
        </w:rPr>
      </w:pPr>
      <w:r w:rsidRPr="005E431C">
        <w:rPr>
          <w:rFonts w:ascii="Times New Roman" w:eastAsia="Times New Roman" w:hAnsi="Times New Roman" w:cs="Times New Roman"/>
          <w:b/>
          <w:bCs/>
          <w:sz w:val="27"/>
          <w:szCs w:val="27"/>
          <w:lang w:val="en-US"/>
        </w:rPr>
        <w:t>Coastal Peer Review Report</w:t>
      </w:r>
    </w:p>
    <w:p w14:paraId="576678D2" w14:textId="77777777" w:rsidR="005E431C" w:rsidRPr="005E431C" w:rsidRDefault="005E431C" w:rsidP="005E431C">
      <w:pPr>
        <w:spacing w:before="100" w:beforeAutospacing="1" w:after="100" w:afterAutospacing="1"/>
        <w:jc w:val="left"/>
        <w:rPr>
          <w:rFonts w:ascii="Times New Roman" w:eastAsia="Times New Roman" w:hAnsi="Times New Roman" w:cs="Times New Roman"/>
          <w:sz w:val="24"/>
          <w:szCs w:val="24"/>
          <w:lang w:val="en-US"/>
        </w:rPr>
      </w:pPr>
      <w:r w:rsidRPr="005E431C">
        <w:rPr>
          <w:rFonts w:ascii="Times New Roman" w:eastAsia="Times New Roman" w:hAnsi="Times New Roman" w:cs="Times New Roman"/>
          <w:sz w:val="24"/>
          <w:szCs w:val="24"/>
          <w:lang w:val="en-US"/>
        </w:rPr>
        <w:t>Mr. Michael Manspeaker, representing Coastal Peer Review, provided an overview of peer review activity, processes, and current trends affecting reviewed firms.</w:t>
      </w:r>
    </w:p>
    <w:p w14:paraId="1135F752" w14:textId="77777777" w:rsidR="005E431C" w:rsidRPr="005E431C" w:rsidRDefault="005E431C" w:rsidP="005E431C">
      <w:pPr>
        <w:spacing w:before="100" w:beforeAutospacing="1" w:after="100" w:afterAutospacing="1"/>
        <w:jc w:val="left"/>
        <w:rPr>
          <w:rFonts w:ascii="Times New Roman" w:eastAsia="Times New Roman" w:hAnsi="Times New Roman" w:cs="Times New Roman"/>
          <w:sz w:val="24"/>
          <w:szCs w:val="24"/>
          <w:lang w:val="en-US"/>
        </w:rPr>
      </w:pPr>
      <w:r w:rsidRPr="005E431C">
        <w:rPr>
          <w:rFonts w:ascii="Times New Roman" w:eastAsia="Times New Roman" w:hAnsi="Times New Roman" w:cs="Times New Roman"/>
          <w:sz w:val="24"/>
          <w:szCs w:val="24"/>
          <w:lang w:val="en-US"/>
        </w:rPr>
        <w:t>Mr. Manspeaker first addressed a question regarding the status of peer reviews in process. He advised that Coastal Peer Review tracks all reviews currently underway and moves them through the acceptance process in a timely manner once submitted. He explained that peer review activity is highly seasonal, with a significant volume of reviews submitted near firm year-ends, particularly in December. As a result, workloads are typically highest in January and February, with substantially fewer reviews submitted during the spring months. He stated that delinquent reviews are tracked and monitored, and that reviews are processed as efficiently as possible once received.</w:t>
      </w:r>
    </w:p>
    <w:p w14:paraId="5E5DAEE6" w14:textId="77777777" w:rsidR="005E431C" w:rsidRPr="005E431C" w:rsidRDefault="005E431C" w:rsidP="005E431C">
      <w:pPr>
        <w:spacing w:before="100" w:beforeAutospacing="1" w:after="100" w:afterAutospacing="1"/>
        <w:jc w:val="left"/>
        <w:rPr>
          <w:rFonts w:ascii="Times New Roman" w:eastAsia="Times New Roman" w:hAnsi="Times New Roman" w:cs="Times New Roman"/>
          <w:sz w:val="24"/>
          <w:szCs w:val="24"/>
          <w:lang w:val="en-US"/>
        </w:rPr>
      </w:pPr>
      <w:r w:rsidRPr="005E431C">
        <w:rPr>
          <w:rFonts w:ascii="Times New Roman" w:eastAsia="Times New Roman" w:hAnsi="Times New Roman" w:cs="Times New Roman"/>
          <w:sz w:val="24"/>
          <w:szCs w:val="24"/>
          <w:lang w:val="en-US"/>
        </w:rPr>
        <w:t xml:space="preserve">Mr. Manspeaker then provided an overview of the </w:t>
      </w:r>
      <w:r w:rsidRPr="005E431C">
        <w:rPr>
          <w:rFonts w:ascii="Times New Roman" w:eastAsia="Times New Roman" w:hAnsi="Times New Roman" w:cs="Times New Roman"/>
          <w:b/>
          <w:bCs/>
          <w:sz w:val="24"/>
          <w:szCs w:val="24"/>
          <w:lang w:val="en-US"/>
        </w:rPr>
        <w:t>peer review process</w:t>
      </w:r>
      <w:r w:rsidRPr="005E431C">
        <w:rPr>
          <w:rFonts w:ascii="Times New Roman" w:eastAsia="Times New Roman" w:hAnsi="Times New Roman" w:cs="Times New Roman"/>
          <w:sz w:val="24"/>
          <w:szCs w:val="24"/>
          <w:lang w:val="en-US"/>
        </w:rPr>
        <w:t xml:space="preserve">, noting that it applies only to firms performing </w:t>
      </w:r>
      <w:r w:rsidRPr="005E431C">
        <w:rPr>
          <w:rFonts w:ascii="Times New Roman" w:eastAsia="Times New Roman" w:hAnsi="Times New Roman" w:cs="Times New Roman"/>
          <w:b/>
          <w:bCs/>
          <w:sz w:val="24"/>
          <w:szCs w:val="24"/>
          <w:lang w:val="en-US"/>
        </w:rPr>
        <w:t>attest services</w:t>
      </w:r>
      <w:r w:rsidRPr="005E431C">
        <w:rPr>
          <w:rFonts w:ascii="Times New Roman" w:eastAsia="Times New Roman" w:hAnsi="Times New Roman" w:cs="Times New Roman"/>
          <w:sz w:val="24"/>
          <w:szCs w:val="24"/>
          <w:lang w:val="en-US"/>
        </w:rPr>
        <w:t>, meaning engagements that provide assurance or financial statements relied upon by third parties. Services such as tax preparation, consulting, and estate planning are not subject to peer review oversight. He explained that peer review functions as a quality monitoring process designed to protect the public interest.</w:t>
      </w:r>
    </w:p>
    <w:p w14:paraId="4B0B8A8A" w14:textId="77777777" w:rsidR="005E431C" w:rsidRPr="005E431C" w:rsidRDefault="005E431C" w:rsidP="005E431C">
      <w:pPr>
        <w:spacing w:before="100" w:beforeAutospacing="1" w:after="100" w:afterAutospacing="1"/>
        <w:jc w:val="left"/>
        <w:rPr>
          <w:rFonts w:ascii="Times New Roman" w:eastAsia="Times New Roman" w:hAnsi="Times New Roman" w:cs="Times New Roman"/>
          <w:sz w:val="24"/>
          <w:szCs w:val="24"/>
          <w:lang w:val="en-US"/>
        </w:rPr>
      </w:pPr>
      <w:r w:rsidRPr="005E431C">
        <w:rPr>
          <w:rFonts w:ascii="Times New Roman" w:eastAsia="Times New Roman" w:hAnsi="Times New Roman" w:cs="Times New Roman"/>
          <w:sz w:val="24"/>
          <w:szCs w:val="24"/>
          <w:lang w:val="en-US"/>
        </w:rPr>
        <w:t xml:space="preserve">Mr. Manspeaker explained that Maryland firms undergo peer review through one of two administering entities: the </w:t>
      </w:r>
      <w:r w:rsidRPr="005E431C">
        <w:rPr>
          <w:rFonts w:ascii="Times New Roman" w:eastAsia="Times New Roman" w:hAnsi="Times New Roman" w:cs="Times New Roman"/>
          <w:b/>
          <w:bCs/>
          <w:sz w:val="24"/>
          <w:szCs w:val="24"/>
          <w:lang w:val="en-US"/>
        </w:rPr>
        <w:t>AICPA National Peer Review Committee</w:t>
      </w:r>
      <w:r w:rsidRPr="005E431C">
        <w:rPr>
          <w:rFonts w:ascii="Times New Roman" w:eastAsia="Times New Roman" w:hAnsi="Times New Roman" w:cs="Times New Roman"/>
          <w:sz w:val="24"/>
          <w:szCs w:val="24"/>
          <w:lang w:val="en-US"/>
        </w:rPr>
        <w:t xml:space="preserve"> or </w:t>
      </w:r>
      <w:r w:rsidRPr="005E431C">
        <w:rPr>
          <w:rFonts w:ascii="Times New Roman" w:eastAsia="Times New Roman" w:hAnsi="Times New Roman" w:cs="Times New Roman"/>
          <w:b/>
          <w:bCs/>
          <w:sz w:val="24"/>
          <w:szCs w:val="24"/>
          <w:lang w:val="en-US"/>
        </w:rPr>
        <w:t>Coastal Peer Review</w:t>
      </w:r>
      <w:r w:rsidRPr="005E431C">
        <w:rPr>
          <w:rFonts w:ascii="Times New Roman" w:eastAsia="Times New Roman" w:hAnsi="Times New Roman" w:cs="Times New Roman"/>
          <w:sz w:val="24"/>
          <w:szCs w:val="24"/>
          <w:lang w:val="en-US"/>
        </w:rPr>
        <w:t xml:space="preserve">. Firms performing public company work subject to PCAOB standards are administered by the National Peer Review Committee. He further noted that firms operating under </w:t>
      </w:r>
      <w:r w:rsidRPr="005E431C">
        <w:rPr>
          <w:rFonts w:ascii="Times New Roman" w:eastAsia="Times New Roman" w:hAnsi="Times New Roman" w:cs="Times New Roman"/>
          <w:b/>
          <w:bCs/>
          <w:sz w:val="24"/>
          <w:szCs w:val="24"/>
          <w:lang w:val="en-US"/>
        </w:rPr>
        <w:t xml:space="preserve">alternative </w:t>
      </w:r>
      <w:r w:rsidRPr="005E431C">
        <w:rPr>
          <w:rFonts w:ascii="Times New Roman" w:eastAsia="Times New Roman" w:hAnsi="Times New Roman" w:cs="Times New Roman"/>
          <w:b/>
          <w:bCs/>
          <w:sz w:val="24"/>
          <w:szCs w:val="24"/>
          <w:lang w:val="en-US"/>
        </w:rPr>
        <w:lastRenderedPageBreak/>
        <w:t>practice structures</w:t>
      </w:r>
      <w:r w:rsidRPr="005E431C">
        <w:rPr>
          <w:rFonts w:ascii="Times New Roman" w:eastAsia="Times New Roman" w:hAnsi="Times New Roman" w:cs="Times New Roman"/>
          <w:sz w:val="24"/>
          <w:szCs w:val="24"/>
          <w:lang w:val="en-US"/>
        </w:rPr>
        <w:t xml:space="preserve"> will also have their peer reviews administered by the National Peer Review Committee to ensure consistent oversight given the complexity of those structures.</w:t>
      </w:r>
    </w:p>
    <w:p w14:paraId="14CEB9EF" w14:textId="77777777" w:rsidR="005E431C" w:rsidRPr="005E431C" w:rsidRDefault="005E431C" w:rsidP="005E431C">
      <w:pPr>
        <w:spacing w:before="100" w:beforeAutospacing="1" w:after="100" w:afterAutospacing="1"/>
        <w:jc w:val="left"/>
        <w:rPr>
          <w:rFonts w:ascii="Times New Roman" w:eastAsia="Times New Roman" w:hAnsi="Times New Roman" w:cs="Times New Roman"/>
          <w:sz w:val="24"/>
          <w:szCs w:val="24"/>
          <w:lang w:val="en-US"/>
        </w:rPr>
      </w:pPr>
      <w:r w:rsidRPr="005E431C">
        <w:rPr>
          <w:rFonts w:ascii="Times New Roman" w:eastAsia="Times New Roman" w:hAnsi="Times New Roman" w:cs="Times New Roman"/>
          <w:sz w:val="24"/>
          <w:szCs w:val="24"/>
          <w:lang w:val="en-US"/>
        </w:rPr>
        <w:t>Mr. Manspeaker emphasized the relevance of peer review to the Board’s licensing and enforcement responsibilities, noting that peer review outcomes are an important factor in evaluating firm quality and compliance.</w:t>
      </w:r>
    </w:p>
    <w:p w14:paraId="59BFCB95" w14:textId="77777777" w:rsidR="005E431C" w:rsidRPr="005E431C" w:rsidRDefault="005E431C" w:rsidP="005E431C">
      <w:pPr>
        <w:spacing w:before="100" w:beforeAutospacing="1" w:after="100" w:afterAutospacing="1"/>
        <w:jc w:val="left"/>
        <w:rPr>
          <w:rFonts w:ascii="Times New Roman" w:eastAsia="Times New Roman" w:hAnsi="Times New Roman" w:cs="Times New Roman"/>
          <w:sz w:val="24"/>
          <w:szCs w:val="24"/>
          <w:lang w:val="en-US"/>
        </w:rPr>
      </w:pPr>
      <w:r w:rsidRPr="005E431C">
        <w:rPr>
          <w:rFonts w:ascii="Times New Roman" w:eastAsia="Times New Roman" w:hAnsi="Times New Roman" w:cs="Times New Roman"/>
          <w:sz w:val="24"/>
          <w:szCs w:val="24"/>
          <w:lang w:val="en-US"/>
        </w:rPr>
        <w:t xml:space="preserve">Mr. Manspeaker next discussed </w:t>
      </w:r>
      <w:r w:rsidRPr="005E431C">
        <w:rPr>
          <w:rFonts w:ascii="Times New Roman" w:eastAsia="Times New Roman" w:hAnsi="Times New Roman" w:cs="Times New Roman"/>
          <w:b/>
          <w:bCs/>
          <w:sz w:val="24"/>
          <w:szCs w:val="24"/>
          <w:lang w:val="en-US"/>
        </w:rPr>
        <w:t>peer review results and corrective actions</w:t>
      </w:r>
      <w:r w:rsidRPr="005E431C">
        <w:rPr>
          <w:rFonts w:ascii="Times New Roman" w:eastAsia="Times New Roman" w:hAnsi="Times New Roman" w:cs="Times New Roman"/>
          <w:sz w:val="24"/>
          <w:szCs w:val="24"/>
          <w:lang w:val="en-US"/>
        </w:rPr>
        <w:t>. He explained that while firms aim to receive a pass report, reviews may result in a pass with deficiencies or a fail. In such cases, Coastal Peer Review issues corrective actions intended to address identified issues and improve firm quality. He stated that peer reviews evaluate not only engagement performance, but also underlying factors such as continuing professional education, quality control policies, and independence requirements. He noted that the vast majority of firms respond constructively and remediate issues, and in some cases elect to discontinue engagements outside their areas of competence. Repeat deficiencies or failures receive heightened scrutiny and typically require a separate hearing process.</w:t>
      </w:r>
    </w:p>
    <w:p w14:paraId="2DF1F117" w14:textId="77777777" w:rsidR="005E431C" w:rsidRPr="005E431C" w:rsidRDefault="005E431C" w:rsidP="005E431C">
      <w:pPr>
        <w:spacing w:before="100" w:beforeAutospacing="1" w:after="100" w:afterAutospacing="1"/>
        <w:jc w:val="left"/>
        <w:rPr>
          <w:rFonts w:ascii="Times New Roman" w:eastAsia="Times New Roman" w:hAnsi="Times New Roman" w:cs="Times New Roman"/>
          <w:sz w:val="24"/>
          <w:szCs w:val="24"/>
          <w:lang w:val="en-US"/>
        </w:rPr>
      </w:pPr>
      <w:r w:rsidRPr="005E431C">
        <w:rPr>
          <w:rFonts w:ascii="Times New Roman" w:eastAsia="Times New Roman" w:hAnsi="Times New Roman" w:cs="Times New Roman"/>
          <w:sz w:val="24"/>
          <w:szCs w:val="24"/>
          <w:lang w:val="en-US"/>
        </w:rPr>
        <w:t xml:space="preserve">Mr. Manspeaker then discussed </w:t>
      </w:r>
      <w:r w:rsidRPr="005E431C">
        <w:rPr>
          <w:rFonts w:ascii="Times New Roman" w:eastAsia="Times New Roman" w:hAnsi="Times New Roman" w:cs="Times New Roman"/>
          <w:b/>
          <w:bCs/>
          <w:sz w:val="24"/>
          <w:szCs w:val="24"/>
          <w:lang w:val="en-US"/>
        </w:rPr>
        <w:t>industry trends</w:t>
      </w:r>
      <w:r w:rsidRPr="005E431C">
        <w:rPr>
          <w:rFonts w:ascii="Times New Roman" w:eastAsia="Times New Roman" w:hAnsi="Times New Roman" w:cs="Times New Roman"/>
          <w:sz w:val="24"/>
          <w:szCs w:val="24"/>
          <w:lang w:val="en-US"/>
        </w:rPr>
        <w:t xml:space="preserve"> affecting peer-reviewed firms. He highlighted the implementation of new </w:t>
      </w:r>
      <w:r w:rsidRPr="005E431C">
        <w:rPr>
          <w:rFonts w:ascii="Times New Roman" w:eastAsia="Times New Roman" w:hAnsi="Times New Roman" w:cs="Times New Roman"/>
          <w:b/>
          <w:bCs/>
          <w:sz w:val="24"/>
          <w:szCs w:val="24"/>
          <w:lang w:val="en-US"/>
        </w:rPr>
        <w:t>quality management standards</w:t>
      </w:r>
      <w:r w:rsidRPr="005E431C">
        <w:rPr>
          <w:rFonts w:ascii="Times New Roman" w:eastAsia="Times New Roman" w:hAnsi="Times New Roman" w:cs="Times New Roman"/>
          <w:sz w:val="24"/>
          <w:szCs w:val="24"/>
          <w:lang w:val="en-US"/>
        </w:rPr>
        <w:t>, noting that Coastal Peer Review has provided multiple free CPE-qualified seminars to assist firms in adapting to these standards. He also discussed the increasing volume and complexity of professional standards, which has led some firms to exit high-risk or specialized assurance areas when they lack sufficient scale or expertise.</w:t>
      </w:r>
    </w:p>
    <w:p w14:paraId="35BAD0A7" w14:textId="77777777" w:rsidR="005E431C" w:rsidRPr="005E431C" w:rsidRDefault="005E431C" w:rsidP="005E431C">
      <w:pPr>
        <w:spacing w:before="100" w:beforeAutospacing="1" w:after="100" w:afterAutospacing="1"/>
        <w:jc w:val="left"/>
        <w:rPr>
          <w:rFonts w:ascii="Times New Roman" w:eastAsia="Times New Roman" w:hAnsi="Times New Roman" w:cs="Times New Roman"/>
          <w:sz w:val="24"/>
          <w:szCs w:val="24"/>
          <w:lang w:val="en-US"/>
        </w:rPr>
      </w:pPr>
      <w:r w:rsidRPr="005E431C">
        <w:rPr>
          <w:rFonts w:ascii="Times New Roman" w:eastAsia="Times New Roman" w:hAnsi="Times New Roman" w:cs="Times New Roman"/>
          <w:sz w:val="24"/>
          <w:szCs w:val="24"/>
          <w:lang w:val="en-US"/>
        </w:rPr>
        <w:t xml:space="preserve">Mr. Manspeaker addressed </w:t>
      </w:r>
      <w:r w:rsidRPr="005E431C">
        <w:rPr>
          <w:rFonts w:ascii="Times New Roman" w:eastAsia="Times New Roman" w:hAnsi="Times New Roman" w:cs="Times New Roman"/>
          <w:b/>
          <w:bCs/>
          <w:sz w:val="24"/>
          <w:szCs w:val="24"/>
          <w:lang w:val="en-US"/>
        </w:rPr>
        <w:t>alternative practice structures</w:t>
      </w:r>
      <w:r w:rsidRPr="005E431C">
        <w:rPr>
          <w:rFonts w:ascii="Times New Roman" w:eastAsia="Times New Roman" w:hAnsi="Times New Roman" w:cs="Times New Roman"/>
          <w:sz w:val="24"/>
          <w:szCs w:val="24"/>
          <w:lang w:val="en-US"/>
        </w:rPr>
        <w:t xml:space="preserve">, reiterating that independence remains the primary concern and noting that centralized administration through the National Peer Review Committee promotes consistency in oversight. He also discussed the growing trend of firms shifting toward </w:t>
      </w:r>
      <w:r w:rsidRPr="005E431C">
        <w:rPr>
          <w:rFonts w:ascii="Times New Roman" w:eastAsia="Times New Roman" w:hAnsi="Times New Roman" w:cs="Times New Roman"/>
          <w:b/>
          <w:bCs/>
          <w:sz w:val="24"/>
          <w:szCs w:val="24"/>
          <w:lang w:val="en-US"/>
        </w:rPr>
        <w:t>outsourced accounting services</w:t>
      </w:r>
      <w:r w:rsidRPr="005E431C">
        <w:rPr>
          <w:rFonts w:ascii="Times New Roman" w:eastAsia="Times New Roman" w:hAnsi="Times New Roman" w:cs="Times New Roman"/>
          <w:sz w:val="24"/>
          <w:szCs w:val="24"/>
          <w:lang w:val="en-US"/>
        </w:rPr>
        <w:t>, which fall outside the scope of peer review because they do not involve third-party reliance. Firms that discontinue attest services often withdraw from the peer review program for this reason.</w:t>
      </w:r>
    </w:p>
    <w:p w14:paraId="5AE37394" w14:textId="77777777" w:rsidR="005E431C" w:rsidRPr="005E431C" w:rsidRDefault="005E431C" w:rsidP="005E431C">
      <w:pPr>
        <w:spacing w:before="100" w:beforeAutospacing="1" w:after="100" w:afterAutospacing="1"/>
        <w:jc w:val="left"/>
        <w:rPr>
          <w:rFonts w:ascii="Times New Roman" w:eastAsia="Times New Roman" w:hAnsi="Times New Roman" w:cs="Times New Roman"/>
          <w:sz w:val="24"/>
          <w:szCs w:val="24"/>
          <w:lang w:val="en-US"/>
        </w:rPr>
      </w:pPr>
      <w:r w:rsidRPr="005E431C">
        <w:rPr>
          <w:rFonts w:ascii="Times New Roman" w:eastAsia="Times New Roman" w:hAnsi="Times New Roman" w:cs="Times New Roman"/>
          <w:sz w:val="24"/>
          <w:szCs w:val="24"/>
          <w:lang w:val="en-US"/>
        </w:rPr>
        <w:t xml:space="preserve">Mr. Manspeaker provided current enrollment statistics for Maryland firms administered by Coastal Peer Review. As of the prior day, there were </w:t>
      </w:r>
      <w:r w:rsidRPr="005E431C">
        <w:rPr>
          <w:rFonts w:ascii="Times New Roman" w:eastAsia="Times New Roman" w:hAnsi="Times New Roman" w:cs="Times New Roman"/>
          <w:b/>
          <w:bCs/>
          <w:sz w:val="24"/>
          <w:szCs w:val="24"/>
          <w:lang w:val="en-US"/>
        </w:rPr>
        <w:t>317 enrolled firms</w:t>
      </w:r>
      <w:r w:rsidRPr="005E431C">
        <w:rPr>
          <w:rFonts w:ascii="Times New Roman" w:eastAsia="Times New Roman" w:hAnsi="Times New Roman" w:cs="Times New Roman"/>
          <w:sz w:val="24"/>
          <w:szCs w:val="24"/>
          <w:lang w:val="en-US"/>
        </w:rPr>
        <w:t xml:space="preserve">, of which </w:t>
      </w:r>
      <w:r w:rsidRPr="005E431C">
        <w:rPr>
          <w:rFonts w:ascii="Times New Roman" w:eastAsia="Times New Roman" w:hAnsi="Times New Roman" w:cs="Times New Roman"/>
          <w:b/>
          <w:bCs/>
          <w:sz w:val="24"/>
          <w:szCs w:val="24"/>
          <w:lang w:val="en-US"/>
        </w:rPr>
        <w:t>167 had engagement reviews</w:t>
      </w:r>
      <w:r w:rsidRPr="005E431C">
        <w:rPr>
          <w:rFonts w:ascii="Times New Roman" w:eastAsia="Times New Roman" w:hAnsi="Times New Roman" w:cs="Times New Roman"/>
          <w:sz w:val="24"/>
          <w:szCs w:val="24"/>
          <w:lang w:val="en-US"/>
        </w:rPr>
        <w:t xml:space="preserve"> and </w:t>
      </w:r>
      <w:r w:rsidRPr="005E431C">
        <w:rPr>
          <w:rFonts w:ascii="Times New Roman" w:eastAsia="Times New Roman" w:hAnsi="Times New Roman" w:cs="Times New Roman"/>
          <w:b/>
          <w:bCs/>
          <w:sz w:val="24"/>
          <w:szCs w:val="24"/>
          <w:lang w:val="en-US"/>
        </w:rPr>
        <w:t>150 had system reviews</w:t>
      </w:r>
      <w:r w:rsidRPr="005E431C">
        <w:rPr>
          <w:rFonts w:ascii="Times New Roman" w:eastAsia="Times New Roman" w:hAnsi="Times New Roman" w:cs="Times New Roman"/>
          <w:sz w:val="24"/>
          <w:szCs w:val="24"/>
          <w:lang w:val="en-US"/>
        </w:rPr>
        <w:t>. He explained that system reviews apply to firms performing audits or other assurance engagements, while engagement reviews apply to firms preparing compiled financial statements relied upon by third parties. He noted that enrollment reflects a three-year peer review cycle.</w:t>
      </w:r>
    </w:p>
    <w:p w14:paraId="62D5D798" w14:textId="77777777" w:rsidR="005E431C" w:rsidRPr="005E431C" w:rsidRDefault="005E431C" w:rsidP="005E431C">
      <w:pPr>
        <w:spacing w:before="100" w:beforeAutospacing="1" w:after="100" w:afterAutospacing="1"/>
        <w:jc w:val="left"/>
        <w:rPr>
          <w:rFonts w:ascii="Times New Roman" w:eastAsia="Times New Roman" w:hAnsi="Times New Roman" w:cs="Times New Roman"/>
          <w:sz w:val="24"/>
          <w:szCs w:val="24"/>
          <w:lang w:val="en-US"/>
        </w:rPr>
      </w:pPr>
      <w:r w:rsidRPr="005E431C">
        <w:rPr>
          <w:rFonts w:ascii="Times New Roman" w:eastAsia="Times New Roman" w:hAnsi="Times New Roman" w:cs="Times New Roman"/>
          <w:sz w:val="24"/>
          <w:szCs w:val="24"/>
          <w:lang w:val="en-US"/>
        </w:rPr>
        <w:t>Mr. Manspeaker concluded by emphasizing Coastal Peer Review’s role as a partner to the Maryland Board of Public Accountancy in protecting the public interest and supporting quality in the profession. He expressed appreciation for the opportunity to present and encouraged ongoing communication with Board members and staff. He then offered to respond to any questions.</w:t>
      </w:r>
    </w:p>
    <w:p w14:paraId="3A9EF25E" w14:textId="30A7B2EB" w:rsidR="00CB6AC2" w:rsidRDefault="00CB6AC2" w:rsidP="00CB6AC2">
      <w:pPr>
        <w:pStyle w:val="NormalWeb"/>
      </w:pPr>
      <w:r>
        <w:t>Following the presentation, Board members engaged in discussion with Mr.  Manspeaker.</w:t>
      </w:r>
    </w:p>
    <w:p w14:paraId="7EC4CD3F" w14:textId="77777777" w:rsidR="00CB6AC2" w:rsidRDefault="00CB6AC2" w:rsidP="00CB6AC2">
      <w:pPr>
        <w:pStyle w:val="NormalWeb"/>
      </w:pPr>
      <w:r>
        <w:rPr>
          <w:rStyle w:val="Strong"/>
        </w:rPr>
        <w:t>Ms. Pamela Gray</w:t>
      </w:r>
      <w:r>
        <w:t xml:space="preserve"> thanked Mr. Manspeaker for his report and requested additional historical data regarding firm enrollment. She asked whether Coastal Peer Review could provide the </w:t>
      </w:r>
      <w:r>
        <w:lastRenderedPageBreak/>
        <w:t>number of enrolled firms for the prior two triennial periods, in addition to the current period, in order to assess trends within the profession. Ms. Gray noted her observation that an increasing number of firms appear to be discontinuing attest and assurance services, and stated that comparative data across three triennial periods would be helpful in understanding the scope of that trend.</w:t>
      </w:r>
    </w:p>
    <w:p w14:paraId="5F02E691" w14:textId="77777777" w:rsidR="00CB6AC2" w:rsidRDefault="00CB6AC2" w:rsidP="00CB6AC2">
      <w:pPr>
        <w:pStyle w:val="NormalWeb"/>
      </w:pPr>
      <w:r>
        <w:t>Mr. Manspeaker confirmed that Coastal Peer Review tracks firm enrollments, drops, and new admissions annually and agreed that the requested data should be available. He stated that, while he could only speculate without reviewing the data, the implementation of new quality management standards may be contributing to firms’ decisions to exit attest and assurance practices. He explained that firms that discontinue attest services typically do so after determining that the investment in education, training, and compliance is disproportionate to the limited number of audit or attest engagements they perform. He noted that these firms often continue operating as tax or accounting services practices. Mr. Manspeaker agreed to compile and provide the requested historical enrollment data to the Board.</w:t>
      </w:r>
    </w:p>
    <w:p w14:paraId="0D542C1C" w14:textId="6F834F47" w:rsidR="00CB6AC2" w:rsidRDefault="00CB6AC2" w:rsidP="00CB6AC2">
      <w:pPr>
        <w:pStyle w:val="NormalWeb"/>
      </w:pPr>
      <w:r>
        <w:rPr>
          <w:rStyle w:val="Strong"/>
        </w:rPr>
        <w:t>Chair Jeff Wilson</w:t>
      </w:r>
      <w:r>
        <w:t xml:space="preserve"> </w:t>
      </w:r>
      <w:r w:rsidR="00A04C28" w:rsidRPr="00A04C28">
        <w:rPr>
          <w:b/>
          <w:bCs/>
        </w:rPr>
        <w:t>II</w:t>
      </w:r>
      <w:r w:rsidR="00A04C28">
        <w:t xml:space="preserve"> </w:t>
      </w:r>
      <w:r>
        <w:t xml:space="preserve">then posed several questions. First, he requested clarification of the current enrollment figures presented. Mr. Manspeaker confirmed that, as of the referenced date, Coastal Peer Review administered peer reviews for </w:t>
      </w:r>
      <w:r>
        <w:rPr>
          <w:rStyle w:val="Strong"/>
        </w:rPr>
        <w:t>317 enrolled firms</w:t>
      </w:r>
      <w:r>
        <w:t xml:space="preserve">, consisting of </w:t>
      </w:r>
      <w:r>
        <w:rPr>
          <w:rStyle w:val="Strong"/>
        </w:rPr>
        <w:t>167 engagement reviews</w:t>
      </w:r>
      <w:r>
        <w:t xml:space="preserve"> and </w:t>
      </w:r>
      <w:r>
        <w:rPr>
          <w:rStyle w:val="Strong"/>
        </w:rPr>
        <w:t>150 system reviews</w:t>
      </w:r>
      <w:r>
        <w:t>, noting that the figures represent a snapshot in time and may fluctuate as firms enter or exit the program.</w:t>
      </w:r>
    </w:p>
    <w:p w14:paraId="712CE312" w14:textId="77777777" w:rsidR="00CB6AC2" w:rsidRDefault="00CB6AC2" w:rsidP="00CB6AC2">
      <w:pPr>
        <w:pStyle w:val="NormalWeb"/>
      </w:pPr>
      <w:r>
        <w:t>Chair Wilson then asked whether Coastal Peer Review is observing demographic or market trends related to firms entering or exiting attest and assurance practice, particularly in light of increasingly stringent quality control standards. Mr. Manspeaker responded that while there is not a significant mass exodus, the overall trend reflects more firms exiting attest and assurance services than entering. He explained that two primary patterns are evident:</w:t>
      </w:r>
    </w:p>
    <w:p w14:paraId="62100C85" w14:textId="77777777" w:rsidR="00CB6AC2" w:rsidRDefault="00CB6AC2" w:rsidP="00CB6AC2">
      <w:pPr>
        <w:pStyle w:val="NormalWeb"/>
        <w:numPr>
          <w:ilvl w:val="0"/>
          <w:numId w:val="32"/>
        </w:numPr>
      </w:pPr>
      <w:r>
        <w:rPr>
          <w:rStyle w:val="Strong"/>
        </w:rPr>
        <w:t>Firm combinations or mergers</w:t>
      </w:r>
      <w:r>
        <w:t>, often driven by succession planning challenges, where multiple firms consolidate into a single firm that continues providing attest services; and</w:t>
      </w:r>
    </w:p>
    <w:p w14:paraId="1CBD2236" w14:textId="77777777" w:rsidR="00CB6AC2" w:rsidRDefault="00CB6AC2" w:rsidP="00CB6AC2">
      <w:pPr>
        <w:pStyle w:val="NormalWeb"/>
        <w:numPr>
          <w:ilvl w:val="0"/>
          <w:numId w:val="32"/>
        </w:numPr>
      </w:pPr>
      <w:r>
        <w:rPr>
          <w:rStyle w:val="Strong"/>
        </w:rPr>
        <w:t>Smaller firms voluntarily exiting attest and assurance work</w:t>
      </w:r>
      <w:r>
        <w:t>, particularly those performing only a limited number of audits, due to the growing complexity of professional standards and compliance requirements.</w:t>
      </w:r>
    </w:p>
    <w:p w14:paraId="1ED62791" w14:textId="77777777" w:rsidR="00CB6AC2" w:rsidRDefault="00CB6AC2" w:rsidP="00CB6AC2">
      <w:pPr>
        <w:pStyle w:val="NormalWeb"/>
      </w:pPr>
      <w:r>
        <w:t xml:space="preserve">Chair Wilson next asked whether Coastal Peer Review has observed independence issues arising from </w:t>
      </w:r>
      <w:r>
        <w:rPr>
          <w:rStyle w:val="Strong"/>
        </w:rPr>
        <w:t>alternative practice structures</w:t>
      </w:r>
      <w:r>
        <w:t xml:space="preserve">, and whether such issues have appeared in peer reviews administered by Coastal. Mr. Manspeaker responded that the majority of firms operating under alternative practice structures are larger firms whose peer reviews are administered by the </w:t>
      </w:r>
      <w:r>
        <w:rPr>
          <w:rStyle w:val="Strong"/>
        </w:rPr>
        <w:t>AICPA National Peer Review Committee</w:t>
      </w:r>
      <w:r>
        <w:t>, rather than Coastal. He stated that he has personally conducted one peer review of a firm with an alternative practice structure and, in that instance, the firm had implemented extensive safeguards, including policies, procedures, and “guardrails,” to address independence risks. He stated that Coastal Peer Review has not encountered significant independence issues related to alternative practice structures and that such structures are not yet prevalent among smaller firms. He further noted that independence concerns may arise both from services performed outside the CPA firm and from investor relationships, making this an area of continued focus for regulators and standard setters.</w:t>
      </w:r>
    </w:p>
    <w:p w14:paraId="18B8B720" w14:textId="77777777" w:rsidR="00CB6AC2" w:rsidRDefault="00CB6AC2" w:rsidP="00CB6AC2">
      <w:pPr>
        <w:pStyle w:val="NormalWeb"/>
      </w:pPr>
      <w:r>
        <w:lastRenderedPageBreak/>
        <w:t xml:space="preserve">Chair Wilson also asked about the impact of </w:t>
      </w:r>
      <w:r>
        <w:rPr>
          <w:rStyle w:val="Strong"/>
        </w:rPr>
        <w:t>artificial intelligence (AI)</w:t>
      </w:r>
      <w:r>
        <w:t xml:space="preserve"> on peer reviews and whether its use is presenting new challenges for firms or reviewers. Mr. Manspeaker responded that, at present, AI usage observed in Coastal-administered peer reviews has been limited. He noted that larger firms often use proprietary or closed AI systems rather than open platforms. He stated that, while AI is currently being used in limited ways—such as data analysis and population segmentation for audit testing—its broader implications are actively being considered by standard setters. Mr. Manspeaker added that, in his role with the Auditing Standards Board and in international standard-setting efforts, the evaluation and validation of AI-generated audit evidence is a significant topic of ongoing discussion. He indicated that additional standards and guidance addressing AI are expected in the coming years as usage expands.</w:t>
      </w:r>
    </w:p>
    <w:p w14:paraId="01560B1D" w14:textId="77777777" w:rsidR="00CB6AC2" w:rsidRDefault="00CB6AC2" w:rsidP="00CB6AC2">
      <w:pPr>
        <w:pStyle w:val="NormalWeb"/>
      </w:pPr>
      <w:r>
        <w:t>Chair Wilson thanked Mr. Manspeaker for his responses and noted that the Board looks forward to future updates as trends continue to develop. He then asked whether there were any additional questions.</w:t>
      </w:r>
    </w:p>
    <w:p w14:paraId="5CF50BC2" w14:textId="77777777" w:rsidR="00CB6AC2" w:rsidRDefault="00CB6AC2" w:rsidP="00CB6AC2">
      <w:pPr>
        <w:pStyle w:val="NormalWeb"/>
      </w:pPr>
      <w:r>
        <w:t>No further questions were raised.</w:t>
      </w:r>
    </w:p>
    <w:p w14:paraId="3FD10278" w14:textId="77777777" w:rsidR="00CB6AC2" w:rsidRDefault="00CB6AC2" w:rsidP="00CB6AC2">
      <w:pPr>
        <w:pStyle w:val="NormalWeb"/>
      </w:pPr>
      <w:r>
        <w:t>Mr. Manspeaker thanked the Board for the opportunity to present and expressed his appreciation for continued collaboration.</w:t>
      </w:r>
    </w:p>
    <w:p w14:paraId="389D185C" w14:textId="304335C5" w:rsidR="007C3C6C" w:rsidRPr="00C663F3" w:rsidRDefault="00EE0AB5" w:rsidP="00C663F3">
      <w:pPr>
        <w:pStyle w:val="Heading2"/>
        <w:rPr>
          <w:rFonts w:asciiTheme="minorHAnsi" w:hAnsiTheme="minorHAnsi"/>
          <w:b/>
          <w:bCs/>
          <w:i w:val="0"/>
          <w:iCs/>
          <w:sz w:val="22"/>
          <w:szCs w:val="22"/>
          <w:u w:val="none"/>
        </w:rPr>
      </w:pPr>
      <w:r w:rsidRPr="00C663F3">
        <w:rPr>
          <w:rFonts w:asciiTheme="minorHAnsi" w:hAnsiTheme="minorHAnsi"/>
          <w:b/>
          <w:bCs/>
          <w:i w:val="0"/>
          <w:iCs/>
          <w:sz w:val="22"/>
          <w:szCs w:val="22"/>
          <w:u w:val="none"/>
        </w:rPr>
        <w:t>Unfinished Business</w:t>
      </w:r>
    </w:p>
    <w:p w14:paraId="53DEF092" w14:textId="77777777" w:rsidR="002C0450" w:rsidRPr="00276C95" w:rsidRDefault="002C0450" w:rsidP="002C0450">
      <w:pPr>
        <w:spacing w:before="100" w:beforeAutospacing="1" w:after="100" w:afterAutospacing="1"/>
        <w:jc w:val="left"/>
        <w:outlineLvl w:val="2"/>
        <w:rPr>
          <w:rFonts w:asciiTheme="minorHAnsi" w:eastAsia="Times New Roman" w:hAnsiTheme="minorHAnsi" w:cs="Times New Roman"/>
          <w:b/>
          <w:bCs/>
          <w:sz w:val="27"/>
          <w:szCs w:val="27"/>
          <w:lang w:val="en-US"/>
        </w:rPr>
      </w:pPr>
      <w:r w:rsidRPr="00276C95">
        <w:rPr>
          <w:rFonts w:asciiTheme="minorHAnsi" w:eastAsia="Times New Roman" w:hAnsiTheme="minorHAnsi" w:cs="Times New Roman"/>
          <w:b/>
          <w:bCs/>
          <w:sz w:val="27"/>
          <w:szCs w:val="27"/>
          <w:lang w:val="en-US"/>
        </w:rPr>
        <w:t>AICPA Potential Revisions to Code of Conduct related to Independence in Alternative Practice Structure</w:t>
      </w:r>
    </w:p>
    <w:p w14:paraId="44A7E2CC" w14:textId="1A7FD865" w:rsidR="00887597" w:rsidRPr="00276C95" w:rsidRDefault="00887597" w:rsidP="00887597">
      <w:pPr>
        <w:pStyle w:val="NormalWeb"/>
        <w:rPr>
          <w:rFonts w:asciiTheme="minorHAnsi" w:hAnsiTheme="minorHAnsi"/>
        </w:rPr>
      </w:pPr>
      <w:r w:rsidRPr="00276C95">
        <w:rPr>
          <w:rFonts w:asciiTheme="minorHAnsi" w:hAnsiTheme="minorHAnsi"/>
        </w:rPr>
        <w:t xml:space="preserve">The Board moved to Unfinished Business and discussed the </w:t>
      </w:r>
      <w:r w:rsidRPr="00276C95">
        <w:rPr>
          <w:rStyle w:val="Strong"/>
          <w:rFonts w:asciiTheme="minorHAnsi" w:hAnsiTheme="minorHAnsi"/>
          <w:b w:val="0"/>
          <w:bCs w:val="0"/>
        </w:rPr>
        <w:t>AICPA’s potential revisions to</w:t>
      </w:r>
      <w:r w:rsidRPr="00276C95">
        <w:rPr>
          <w:rStyle w:val="Strong"/>
          <w:rFonts w:asciiTheme="minorHAnsi" w:hAnsiTheme="minorHAnsi"/>
        </w:rPr>
        <w:t xml:space="preserve"> </w:t>
      </w:r>
      <w:r w:rsidRPr="00276C95">
        <w:rPr>
          <w:rStyle w:val="Strong"/>
          <w:rFonts w:asciiTheme="minorHAnsi" w:hAnsiTheme="minorHAnsi"/>
          <w:b w:val="0"/>
          <w:bCs w:val="0"/>
        </w:rPr>
        <w:t>the</w:t>
      </w:r>
      <w:r w:rsidRPr="00276C95">
        <w:rPr>
          <w:rStyle w:val="Strong"/>
          <w:rFonts w:asciiTheme="minorHAnsi" w:hAnsiTheme="minorHAnsi"/>
        </w:rPr>
        <w:t xml:space="preserve"> </w:t>
      </w:r>
      <w:r w:rsidRPr="00276C95">
        <w:rPr>
          <w:rStyle w:val="Strong"/>
          <w:rFonts w:asciiTheme="minorHAnsi" w:hAnsiTheme="minorHAnsi"/>
          <w:b w:val="0"/>
          <w:bCs w:val="0"/>
        </w:rPr>
        <w:t>Code of Professional Conduct related to independence</w:t>
      </w:r>
      <w:r w:rsidRPr="00276C95">
        <w:rPr>
          <w:rFonts w:asciiTheme="minorHAnsi" w:hAnsiTheme="minorHAnsi"/>
        </w:rPr>
        <w:t>, including matters associated with alternative practice structures. The Chair noted that this topic had been referenced earlier in the Chair’s Report and advised that the exposure draft issued by the AICPA Professional Ethics and Executive Committee (PEEC) has a public comment deadline in April 2026.</w:t>
      </w:r>
    </w:p>
    <w:p w14:paraId="77B47529" w14:textId="452DACB3" w:rsidR="00887597" w:rsidRPr="00276C95" w:rsidRDefault="00887597" w:rsidP="00887597">
      <w:pPr>
        <w:pStyle w:val="NormalWeb"/>
        <w:rPr>
          <w:rFonts w:asciiTheme="minorHAnsi" w:hAnsiTheme="minorHAnsi"/>
        </w:rPr>
      </w:pPr>
      <w:r w:rsidRPr="00276C95">
        <w:rPr>
          <w:rFonts w:asciiTheme="minorHAnsi" w:hAnsiTheme="minorHAnsi"/>
        </w:rPr>
        <w:t>The Chair recommended that Board members review the exposure draft in advance and return to the next Board meeting prepared to discuss potential comments. He stated that the timeline allows sufficient opportunity for thoughtful consideration, including the possibility of obtaining public input, so that the Board may determine whether to submit a formal response to the AICPA in a timely manner.</w:t>
      </w:r>
    </w:p>
    <w:p w14:paraId="60FFA9EB" w14:textId="4DCC515C" w:rsidR="00887597" w:rsidRPr="00276C95" w:rsidRDefault="00887597" w:rsidP="00887597">
      <w:pPr>
        <w:pStyle w:val="NormalWeb"/>
        <w:rPr>
          <w:rFonts w:asciiTheme="minorHAnsi" w:hAnsiTheme="minorHAnsi"/>
        </w:rPr>
      </w:pPr>
      <w:r w:rsidRPr="00276C95">
        <w:rPr>
          <w:rFonts w:asciiTheme="minorHAnsi" w:hAnsiTheme="minorHAnsi"/>
        </w:rPr>
        <w:t>The Chair asked whether any Board members wished to provide additional context or comments regarding the proposed revisions or alternative practice structures. No additional comments were offered.</w:t>
      </w:r>
    </w:p>
    <w:p w14:paraId="4B26784F" w14:textId="77777777" w:rsidR="00887597" w:rsidRPr="00276C95" w:rsidRDefault="00887597" w:rsidP="00887597">
      <w:pPr>
        <w:pStyle w:val="NormalWeb"/>
        <w:rPr>
          <w:rFonts w:asciiTheme="minorHAnsi" w:hAnsiTheme="minorHAnsi"/>
        </w:rPr>
      </w:pPr>
      <w:r w:rsidRPr="00276C95">
        <w:rPr>
          <w:rFonts w:asciiTheme="minorHAnsi" w:hAnsiTheme="minorHAnsi"/>
        </w:rPr>
        <w:t>The Board reached consensus to proceed as outlined, with members to review the exposure draft independently and be prepared for discussion at the next meeting.</w:t>
      </w:r>
    </w:p>
    <w:p w14:paraId="1DE243AC" w14:textId="77777777" w:rsidR="00887597" w:rsidRPr="00276C95" w:rsidRDefault="00887597" w:rsidP="00887597">
      <w:pPr>
        <w:pStyle w:val="NormalWeb"/>
        <w:rPr>
          <w:rFonts w:asciiTheme="minorHAnsi" w:hAnsiTheme="minorHAnsi"/>
        </w:rPr>
      </w:pPr>
      <w:r w:rsidRPr="00276C95">
        <w:rPr>
          <w:rFonts w:asciiTheme="minorHAnsi" w:hAnsiTheme="minorHAnsi"/>
        </w:rPr>
        <w:t>No formal action was taken at this time.</w:t>
      </w:r>
    </w:p>
    <w:p w14:paraId="498993FC" w14:textId="77777777" w:rsidR="00FF3D30" w:rsidRDefault="00EE0AB5" w:rsidP="00FF3D30">
      <w:pPr>
        <w:spacing w:before="100" w:beforeAutospacing="1" w:after="100" w:afterAutospacing="1"/>
        <w:jc w:val="left"/>
        <w:outlineLvl w:val="1"/>
        <w:rPr>
          <w:rFonts w:asciiTheme="minorHAnsi" w:eastAsia="Times New Roman" w:hAnsiTheme="minorHAnsi" w:cs="Times New Roman"/>
          <w:b/>
          <w:bCs/>
          <w:sz w:val="36"/>
          <w:szCs w:val="36"/>
          <w:lang w:val="en-US"/>
        </w:rPr>
      </w:pPr>
      <w:r w:rsidRPr="00276C95">
        <w:rPr>
          <w:rFonts w:asciiTheme="minorHAnsi" w:eastAsia="Times New Roman" w:hAnsiTheme="minorHAnsi" w:cs="Times New Roman"/>
          <w:b/>
          <w:bCs/>
          <w:sz w:val="36"/>
          <w:szCs w:val="36"/>
          <w:lang w:val="en-US"/>
        </w:rPr>
        <w:lastRenderedPageBreak/>
        <w:t xml:space="preserve">New Business </w:t>
      </w:r>
    </w:p>
    <w:p w14:paraId="278A581B" w14:textId="77777777" w:rsidR="00FF3D30" w:rsidRPr="00FF3D30" w:rsidRDefault="00FF3D30" w:rsidP="00FF3D30">
      <w:pPr>
        <w:spacing w:before="100" w:beforeAutospacing="1" w:after="100" w:afterAutospacing="1"/>
        <w:jc w:val="left"/>
        <w:outlineLvl w:val="2"/>
        <w:rPr>
          <w:rFonts w:ascii="Times New Roman" w:eastAsia="Times New Roman" w:hAnsi="Times New Roman" w:cs="Times New Roman"/>
          <w:b/>
          <w:bCs/>
          <w:sz w:val="27"/>
          <w:szCs w:val="27"/>
          <w:lang w:val="en-US"/>
        </w:rPr>
      </w:pPr>
      <w:r w:rsidRPr="00FF3D30">
        <w:rPr>
          <w:rFonts w:ascii="Times New Roman" w:eastAsia="Times New Roman" w:hAnsi="Times New Roman" w:cs="Times New Roman"/>
          <w:b/>
          <w:bCs/>
          <w:sz w:val="27"/>
          <w:szCs w:val="27"/>
          <w:lang w:val="en-US"/>
        </w:rPr>
        <w:t>CPA Emeritus Status</w:t>
      </w:r>
    </w:p>
    <w:p w14:paraId="0162BABC" w14:textId="77777777" w:rsidR="00FF3D30" w:rsidRPr="00FF3D30" w:rsidRDefault="00FF3D30" w:rsidP="00FF3D30">
      <w:pPr>
        <w:spacing w:before="100" w:beforeAutospacing="1" w:after="100" w:afterAutospacing="1"/>
        <w:jc w:val="left"/>
        <w:rPr>
          <w:rFonts w:ascii="Times New Roman" w:eastAsia="Times New Roman" w:hAnsi="Times New Roman" w:cs="Times New Roman"/>
          <w:sz w:val="24"/>
          <w:szCs w:val="24"/>
          <w:lang w:val="en-US"/>
        </w:rPr>
      </w:pPr>
      <w:r w:rsidRPr="00FF3D30">
        <w:rPr>
          <w:rFonts w:ascii="Times New Roman" w:eastAsia="Times New Roman" w:hAnsi="Times New Roman" w:cs="Times New Roman"/>
          <w:sz w:val="24"/>
          <w:szCs w:val="24"/>
          <w:lang w:val="en-US"/>
        </w:rPr>
        <w:t>The Chair introduced an item regarding CPA Emeritus status, placed on the agenda at the request of a licensed CPA. The Chair reminded the Board that legislation enacted in 2025 required the Maryland Board of Public Accountancy to establish a CPA Emeritus status and to accept applications for that designation.</w:t>
      </w:r>
    </w:p>
    <w:p w14:paraId="43A2773E" w14:textId="77777777" w:rsidR="00FF3D30" w:rsidRPr="00FF3D30" w:rsidRDefault="00FF3D30" w:rsidP="00FF3D30">
      <w:pPr>
        <w:spacing w:before="100" w:beforeAutospacing="1" w:after="100" w:afterAutospacing="1"/>
        <w:jc w:val="left"/>
        <w:rPr>
          <w:rFonts w:ascii="Times New Roman" w:eastAsia="Times New Roman" w:hAnsi="Times New Roman" w:cs="Times New Roman"/>
          <w:sz w:val="24"/>
          <w:szCs w:val="24"/>
          <w:lang w:val="en-US"/>
        </w:rPr>
      </w:pPr>
      <w:r w:rsidRPr="00FF3D30">
        <w:rPr>
          <w:rFonts w:ascii="Times New Roman" w:eastAsia="Times New Roman" w:hAnsi="Times New Roman" w:cs="Times New Roman"/>
          <w:sz w:val="24"/>
          <w:szCs w:val="24"/>
          <w:lang w:val="en-US"/>
        </w:rPr>
        <w:t>The Chair noted that early in his tenure as Chair, the Board received feedback that the CPA Emeritus application was not yet available online. He emphasized that the Board and staff are aware of the issue and have been actively working toward making the application available electronically. The Chair further clarified that, despite the application not yet being posted online, individuals are still able to apply for CPA Emeritus status.</w:t>
      </w:r>
    </w:p>
    <w:p w14:paraId="4AC56129" w14:textId="77777777" w:rsidR="00FF3D30" w:rsidRPr="00FF3D30" w:rsidRDefault="00FF3D30" w:rsidP="00FF3D30">
      <w:pPr>
        <w:spacing w:before="100" w:beforeAutospacing="1" w:after="100" w:afterAutospacing="1"/>
        <w:jc w:val="left"/>
        <w:rPr>
          <w:rFonts w:ascii="Times New Roman" w:eastAsia="Times New Roman" w:hAnsi="Times New Roman" w:cs="Times New Roman"/>
          <w:sz w:val="24"/>
          <w:szCs w:val="24"/>
          <w:lang w:val="en-US"/>
        </w:rPr>
      </w:pPr>
      <w:r w:rsidRPr="00FF3D30">
        <w:rPr>
          <w:rFonts w:ascii="Times New Roman" w:eastAsia="Times New Roman" w:hAnsi="Times New Roman" w:cs="Times New Roman"/>
          <w:sz w:val="24"/>
          <w:szCs w:val="24"/>
          <w:lang w:val="en-US"/>
        </w:rPr>
        <w:t>Staff explained that the delay in posting the application online is due to competing system-related projects currently in progress. However, staff confirmed that interim workarounds are in place. Specifically, the Board is able to process CPA Emeritus applications manually through coordination with the Department’s lockbox unit.</w:t>
      </w:r>
    </w:p>
    <w:p w14:paraId="112D4CD2" w14:textId="77777777" w:rsidR="00FF3D30" w:rsidRPr="00FF3D30" w:rsidRDefault="00FF3D30" w:rsidP="00FF3D30">
      <w:pPr>
        <w:spacing w:before="100" w:beforeAutospacing="1" w:after="100" w:afterAutospacing="1"/>
        <w:jc w:val="left"/>
        <w:rPr>
          <w:rFonts w:ascii="Times New Roman" w:eastAsia="Times New Roman" w:hAnsi="Times New Roman" w:cs="Times New Roman"/>
          <w:sz w:val="24"/>
          <w:szCs w:val="24"/>
          <w:lang w:val="en-US"/>
        </w:rPr>
      </w:pPr>
      <w:r w:rsidRPr="00FF3D30">
        <w:rPr>
          <w:rFonts w:ascii="Times New Roman" w:eastAsia="Times New Roman" w:hAnsi="Times New Roman" w:cs="Times New Roman"/>
          <w:sz w:val="24"/>
          <w:szCs w:val="24"/>
          <w:lang w:val="en-US"/>
        </w:rPr>
        <w:t>Staff reported that the CPA who raised the concern has been successfully assisted using this manual process and that his application has been handled accordingly. The Board was advised that staff will continue to utilize these workarounds until the online application becomes available.</w:t>
      </w:r>
    </w:p>
    <w:p w14:paraId="11E8CF7C" w14:textId="77777777" w:rsidR="00FF3D30" w:rsidRPr="00FF3D30" w:rsidRDefault="00FF3D30" w:rsidP="00FF3D30">
      <w:pPr>
        <w:spacing w:before="100" w:beforeAutospacing="1" w:after="100" w:afterAutospacing="1"/>
        <w:jc w:val="left"/>
        <w:rPr>
          <w:rFonts w:ascii="Times New Roman" w:eastAsia="Times New Roman" w:hAnsi="Times New Roman" w:cs="Times New Roman"/>
          <w:sz w:val="24"/>
          <w:szCs w:val="24"/>
          <w:lang w:val="en-US"/>
        </w:rPr>
      </w:pPr>
      <w:r w:rsidRPr="00FF3D30">
        <w:rPr>
          <w:rFonts w:ascii="Times New Roman" w:eastAsia="Times New Roman" w:hAnsi="Times New Roman" w:cs="Times New Roman"/>
          <w:sz w:val="24"/>
          <w:szCs w:val="24"/>
          <w:lang w:val="en-US"/>
        </w:rPr>
        <w:t>The Board acknowledged the update. No formal action was required at this time.</w:t>
      </w:r>
    </w:p>
    <w:p w14:paraId="45DDB0E5" w14:textId="77777777" w:rsidR="006E5FFE" w:rsidRPr="006E5FFE" w:rsidRDefault="006E5FFE" w:rsidP="006E5FFE">
      <w:pPr>
        <w:spacing w:before="100" w:beforeAutospacing="1" w:after="100" w:afterAutospacing="1"/>
        <w:jc w:val="left"/>
        <w:outlineLvl w:val="2"/>
        <w:rPr>
          <w:rFonts w:ascii="Times New Roman" w:eastAsia="Times New Roman" w:hAnsi="Times New Roman" w:cs="Times New Roman"/>
          <w:b/>
          <w:bCs/>
          <w:sz w:val="27"/>
          <w:szCs w:val="27"/>
          <w:lang w:val="en-US"/>
        </w:rPr>
      </w:pPr>
      <w:r w:rsidRPr="006E5FFE">
        <w:rPr>
          <w:rFonts w:ascii="Times New Roman" w:eastAsia="Times New Roman" w:hAnsi="Times New Roman" w:cs="Times New Roman"/>
          <w:b/>
          <w:bCs/>
          <w:sz w:val="27"/>
          <w:szCs w:val="27"/>
          <w:lang w:val="en-US"/>
        </w:rPr>
        <w:t>Presentation by the Commissioner of Labor and Industry: Workplace Fraud Legislation</w:t>
      </w:r>
    </w:p>
    <w:p w14:paraId="64D816AF" w14:textId="77777777" w:rsidR="006E5FFE" w:rsidRPr="006E5FFE" w:rsidRDefault="006E5FFE" w:rsidP="006E5FFE">
      <w:pPr>
        <w:spacing w:before="100" w:beforeAutospacing="1" w:after="100" w:afterAutospacing="1"/>
        <w:jc w:val="left"/>
        <w:rPr>
          <w:rFonts w:ascii="Times New Roman" w:eastAsia="Times New Roman" w:hAnsi="Times New Roman" w:cs="Times New Roman"/>
          <w:sz w:val="24"/>
          <w:szCs w:val="24"/>
          <w:lang w:val="en-US"/>
        </w:rPr>
      </w:pPr>
      <w:r w:rsidRPr="006E5FFE">
        <w:rPr>
          <w:rFonts w:ascii="Times New Roman" w:eastAsia="Times New Roman" w:hAnsi="Times New Roman" w:cs="Times New Roman"/>
          <w:sz w:val="24"/>
          <w:szCs w:val="24"/>
          <w:lang w:val="en-US"/>
        </w:rPr>
        <w:t xml:space="preserve">The Chair recognized </w:t>
      </w:r>
      <w:r w:rsidRPr="006E5FFE">
        <w:rPr>
          <w:rFonts w:ascii="Times New Roman" w:eastAsia="Times New Roman" w:hAnsi="Times New Roman" w:cs="Times New Roman"/>
          <w:b/>
          <w:bCs/>
          <w:sz w:val="24"/>
          <w:szCs w:val="24"/>
          <w:lang w:val="en-US"/>
        </w:rPr>
        <w:t>Devki Virk, Commissioner of the Division of Labor and Industry</w:t>
      </w:r>
      <w:r w:rsidRPr="006E5FFE">
        <w:rPr>
          <w:rFonts w:ascii="Times New Roman" w:eastAsia="Times New Roman" w:hAnsi="Times New Roman" w:cs="Times New Roman"/>
          <w:sz w:val="24"/>
          <w:szCs w:val="24"/>
          <w:lang w:val="en-US"/>
        </w:rPr>
        <w:t>, who appeared before the Board to request its support for legislation introduced by the Maryland Department of Labor during the current legislative session, with approval from the Governor’s Office. The proposed legislation is intended to strengthen enforcement mechanisms related to workplace fraud.</w:t>
      </w:r>
    </w:p>
    <w:p w14:paraId="50EB1B14" w14:textId="77777777" w:rsidR="006E5FFE" w:rsidRPr="006E5FFE" w:rsidRDefault="006E5FFE" w:rsidP="006E5FFE">
      <w:pPr>
        <w:spacing w:before="100" w:beforeAutospacing="1" w:after="100" w:afterAutospacing="1"/>
        <w:jc w:val="left"/>
        <w:rPr>
          <w:rFonts w:ascii="Times New Roman" w:eastAsia="Times New Roman" w:hAnsi="Times New Roman" w:cs="Times New Roman"/>
          <w:sz w:val="24"/>
          <w:szCs w:val="24"/>
          <w:lang w:val="en-US"/>
        </w:rPr>
      </w:pPr>
      <w:r w:rsidRPr="006E5FFE">
        <w:rPr>
          <w:rFonts w:ascii="Times New Roman" w:eastAsia="Times New Roman" w:hAnsi="Times New Roman" w:cs="Times New Roman"/>
          <w:sz w:val="24"/>
          <w:szCs w:val="24"/>
          <w:lang w:val="en-US"/>
        </w:rPr>
        <w:t>Commissioner Virk explained that workplace fraud commonly occurs when workers who are legally classified as employees are misclassified as independent contractors or paid off the books. She noted that Maryland law currently prohibits such practices through multiple statutory frameworks, including unemployment insurance laws, workers’ compensation laws, and specific provisions enforced by the Division of Labor and Industry that apply to the construction and landscaping industries. Despite these existing prohibitions, Commissioner Virk stated that enforcement experience over recent years demonstrates that workplace fraud remains prevalent.</w:t>
      </w:r>
    </w:p>
    <w:p w14:paraId="667AB07F" w14:textId="77777777" w:rsidR="006E5FFE" w:rsidRPr="006E5FFE" w:rsidRDefault="006E5FFE" w:rsidP="006E5FFE">
      <w:pPr>
        <w:spacing w:before="100" w:beforeAutospacing="1" w:after="100" w:afterAutospacing="1"/>
        <w:jc w:val="left"/>
        <w:rPr>
          <w:rFonts w:ascii="Times New Roman" w:eastAsia="Times New Roman" w:hAnsi="Times New Roman" w:cs="Times New Roman"/>
          <w:sz w:val="24"/>
          <w:szCs w:val="24"/>
          <w:lang w:val="en-US"/>
        </w:rPr>
      </w:pPr>
      <w:r w:rsidRPr="006E5FFE">
        <w:rPr>
          <w:rFonts w:ascii="Times New Roman" w:eastAsia="Times New Roman" w:hAnsi="Times New Roman" w:cs="Times New Roman"/>
          <w:sz w:val="24"/>
          <w:szCs w:val="24"/>
          <w:lang w:val="en-US"/>
        </w:rPr>
        <w:t xml:space="preserve">Commissioner Virk advised that the proposed legislation does not create new grounds for liability for CPAs or other licensed professionals. Rather, it strengthens the consequences associated with violations of existing law by allowing licensing boards to impose disciplinary </w:t>
      </w:r>
      <w:r w:rsidRPr="006E5FFE">
        <w:rPr>
          <w:rFonts w:ascii="Times New Roman" w:eastAsia="Times New Roman" w:hAnsi="Times New Roman" w:cs="Times New Roman"/>
          <w:sz w:val="24"/>
          <w:szCs w:val="24"/>
          <w:lang w:val="en-US"/>
        </w:rPr>
        <w:lastRenderedPageBreak/>
        <w:t xml:space="preserve">action when a licensee is found to have knowingly violated the Workplace Fraud Act. She emphasized that the standard for CPA liability remains unchanged and requires a finding of a </w:t>
      </w:r>
      <w:r w:rsidRPr="006E5FFE">
        <w:rPr>
          <w:rFonts w:ascii="Times New Roman" w:eastAsia="Times New Roman" w:hAnsi="Times New Roman" w:cs="Times New Roman"/>
          <w:b/>
          <w:bCs/>
          <w:sz w:val="24"/>
          <w:szCs w:val="24"/>
          <w:lang w:val="en-US"/>
        </w:rPr>
        <w:t>knowing violation</w:t>
      </w:r>
      <w:r w:rsidRPr="006E5FFE">
        <w:rPr>
          <w:rFonts w:ascii="Times New Roman" w:eastAsia="Times New Roman" w:hAnsi="Times New Roman" w:cs="Times New Roman"/>
          <w:sz w:val="24"/>
          <w:szCs w:val="24"/>
          <w:lang w:val="en-US"/>
        </w:rPr>
        <w:t>, such as knowingly forming or assisting in the formation of an entity for the purpose of facilitating or evading detection of workplace fraud, as outlined in the Labor and Employment Article.</w:t>
      </w:r>
    </w:p>
    <w:p w14:paraId="0BD1D700" w14:textId="77777777" w:rsidR="006E5FFE" w:rsidRPr="006E5FFE" w:rsidRDefault="006E5FFE" w:rsidP="006E5FFE">
      <w:pPr>
        <w:spacing w:before="100" w:beforeAutospacing="1" w:after="100" w:afterAutospacing="1"/>
        <w:jc w:val="left"/>
        <w:rPr>
          <w:rFonts w:ascii="Times New Roman" w:eastAsia="Times New Roman" w:hAnsi="Times New Roman" w:cs="Times New Roman"/>
          <w:sz w:val="24"/>
          <w:szCs w:val="24"/>
          <w:lang w:val="en-US"/>
        </w:rPr>
      </w:pPr>
      <w:r w:rsidRPr="006E5FFE">
        <w:rPr>
          <w:rFonts w:ascii="Times New Roman" w:eastAsia="Times New Roman" w:hAnsi="Times New Roman" w:cs="Times New Roman"/>
          <w:sz w:val="24"/>
          <w:szCs w:val="24"/>
          <w:lang w:val="en-US"/>
        </w:rPr>
        <w:t>Commissioner Virk further explained that any licensing consequences would occur only after a full investigative and adjudicatory process, including due process protections. She stated that the intent of the legislation is to provide licensing boards with enforcement authority comparable to their existing authority in other areas of professional conduct, thereby strengthening deterrence and addressing the broader economic and social impacts of workplace fraud, including lost tax revenue, diminished unemployment insurance funds, and unpaid workers’ compensation premiums.</w:t>
      </w:r>
    </w:p>
    <w:p w14:paraId="0C31CCD5" w14:textId="77777777" w:rsidR="006E5FFE" w:rsidRPr="006E5FFE" w:rsidRDefault="006E5FFE" w:rsidP="006E5FFE">
      <w:pPr>
        <w:spacing w:before="100" w:beforeAutospacing="1" w:after="100" w:afterAutospacing="1"/>
        <w:jc w:val="left"/>
        <w:rPr>
          <w:rFonts w:ascii="Times New Roman" w:eastAsia="Times New Roman" w:hAnsi="Times New Roman" w:cs="Times New Roman"/>
          <w:sz w:val="24"/>
          <w:szCs w:val="24"/>
          <w:lang w:val="en-US"/>
        </w:rPr>
      </w:pPr>
      <w:r w:rsidRPr="006E5FFE">
        <w:rPr>
          <w:rFonts w:ascii="Times New Roman" w:eastAsia="Times New Roman" w:hAnsi="Times New Roman" w:cs="Times New Roman"/>
          <w:sz w:val="24"/>
          <w:szCs w:val="24"/>
          <w:lang w:val="en-US"/>
        </w:rPr>
        <w:t>The Chair thanked Commissioner Virk for her presentation and opened the floor for questions.</w:t>
      </w:r>
    </w:p>
    <w:p w14:paraId="6D8BB2D6" w14:textId="77777777" w:rsidR="006E5FFE" w:rsidRPr="006E5FFE" w:rsidRDefault="006E5FFE" w:rsidP="006E5FFE">
      <w:pPr>
        <w:spacing w:before="100" w:beforeAutospacing="1" w:after="100" w:afterAutospacing="1"/>
        <w:jc w:val="left"/>
        <w:rPr>
          <w:rFonts w:ascii="Times New Roman" w:eastAsia="Times New Roman" w:hAnsi="Times New Roman" w:cs="Times New Roman"/>
          <w:sz w:val="24"/>
          <w:szCs w:val="24"/>
          <w:lang w:val="en-US"/>
        </w:rPr>
      </w:pPr>
      <w:r w:rsidRPr="006E5FFE">
        <w:rPr>
          <w:rFonts w:ascii="Times New Roman" w:eastAsia="Times New Roman" w:hAnsi="Times New Roman" w:cs="Times New Roman"/>
          <w:sz w:val="24"/>
          <w:szCs w:val="24"/>
          <w:lang w:val="en-US"/>
        </w:rPr>
        <w:t>The Chair noted that during the completion of a recent Maryland business annual report filing, he observed expanded attestation questions related to employee classification, payroll accounts, and unemployment insurance accounts. He inquired whether these additional disclosures were connected to broader workplace fraud enforcement efforts.</w:t>
      </w:r>
    </w:p>
    <w:p w14:paraId="2358A312" w14:textId="77777777" w:rsidR="006E5FFE" w:rsidRPr="006E5FFE" w:rsidRDefault="006E5FFE" w:rsidP="006E5FFE">
      <w:pPr>
        <w:spacing w:before="100" w:beforeAutospacing="1" w:after="100" w:afterAutospacing="1"/>
        <w:jc w:val="left"/>
        <w:rPr>
          <w:rFonts w:ascii="Times New Roman" w:eastAsia="Times New Roman" w:hAnsi="Times New Roman" w:cs="Times New Roman"/>
          <w:sz w:val="24"/>
          <w:szCs w:val="24"/>
          <w:lang w:val="en-US"/>
        </w:rPr>
      </w:pPr>
      <w:r w:rsidRPr="006E5FFE">
        <w:rPr>
          <w:rFonts w:ascii="Times New Roman" w:eastAsia="Times New Roman" w:hAnsi="Times New Roman" w:cs="Times New Roman"/>
          <w:sz w:val="24"/>
          <w:szCs w:val="24"/>
          <w:lang w:val="en-US"/>
        </w:rPr>
        <w:t>Commissioner Virk responded that the Department of Assessments and Taxation, which administers the annual report process, is a participant in the Governor’s Joint Enforcement Task Force on Workplace Fraud. While she was not specifically aware of the attestation referenced, she acknowledged that it may reflect interagency efforts to gather relevant information. She indicated she would follow up on the matter.</w:t>
      </w:r>
    </w:p>
    <w:p w14:paraId="1A74AF9A" w14:textId="77777777" w:rsidR="006E5FFE" w:rsidRPr="006E5FFE" w:rsidRDefault="006E5FFE" w:rsidP="006E5FFE">
      <w:pPr>
        <w:spacing w:before="100" w:beforeAutospacing="1" w:after="100" w:afterAutospacing="1"/>
        <w:jc w:val="left"/>
        <w:rPr>
          <w:rFonts w:ascii="Times New Roman" w:eastAsia="Times New Roman" w:hAnsi="Times New Roman" w:cs="Times New Roman"/>
          <w:sz w:val="24"/>
          <w:szCs w:val="24"/>
          <w:lang w:val="en-US"/>
        </w:rPr>
      </w:pPr>
      <w:r w:rsidRPr="006E5FFE">
        <w:rPr>
          <w:rFonts w:ascii="Times New Roman" w:eastAsia="Times New Roman" w:hAnsi="Times New Roman" w:cs="Times New Roman"/>
          <w:sz w:val="24"/>
          <w:szCs w:val="24"/>
          <w:lang w:val="en-US"/>
        </w:rPr>
        <w:t>The Chair shared additional context, noting that practitioners assisting clients with annual business filings are now required to make attestations regarding workforce-related information before completing registrations. He observed that this reflects increasing intersections between workforce enforcement initiatives and professional practice and stated that he wished to bring this development to the Board’s attention.</w:t>
      </w:r>
    </w:p>
    <w:p w14:paraId="0981540E" w14:textId="77777777" w:rsidR="006E5FFE" w:rsidRPr="006E5FFE" w:rsidRDefault="006E5FFE" w:rsidP="006E5FFE">
      <w:pPr>
        <w:spacing w:before="100" w:beforeAutospacing="1" w:after="100" w:afterAutospacing="1"/>
        <w:jc w:val="left"/>
        <w:rPr>
          <w:rFonts w:ascii="Times New Roman" w:eastAsia="Times New Roman" w:hAnsi="Times New Roman" w:cs="Times New Roman"/>
          <w:sz w:val="24"/>
          <w:szCs w:val="24"/>
          <w:lang w:val="en-US"/>
        </w:rPr>
      </w:pPr>
      <w:r w:rsidRPr="006E5FFE">
        <w:rPr>
          <w:rFonts w:ascii="Times New Roman" w:eastAsia="Times New Roman" w:hAnsi="Times New Roman" w:cs="Times New Roman"/>
          <w:sz w:val="24"/>
          <w:szCs w:val="24"/>
          <w:lang w:val="en-US"/>
        </w:rPr>
        <w:t xml:space="preserve">The Chair again opened the floor for questions. </w:t>
      </w:r>
    </w:p>
    <w:p w14:paraId="7F68E550" w14:textId="15FF7E7D" w:rsidR="006E5FFE" w:rsidRDefault="006E5FFE" w:rsidP="006E5FFE">
      <w:pPr>
        <w:pStyle w:val="NormalWeb"/>
      </w:pPr>
      <w:r>
        <w:rPr>
          <w:rStyle w:val="Strong"/>
        </w:rPr>
        <w:t>Ms. Pamela Gray</w:t>
      </w:r>
      <w:r>
        <w:t xml:space="preserve"> thanked Commissioner Virk for the presentation and asked whether the Department of Labor and Industry had observed any prevalence of workplace fraud involving accounting firms that provide attestation services, as compared to firms that provide bookkeeping or similar non-attest services.</w:t>
      </w:r>
    </w:p>
    <w:p w14:paraId="76322DF6" w14:textId="77777777" w:rsidR="006E5FFE" w:rsidRDefault="006E5FFE" w:rsidP="006E5FFE">
      <w:pPr>
        <w:pStyle w:val="NormalWeb"/>
      </w:pPr>
      <w:r>
        <w:rPr>
          <w:rStyle w:val="Strong"/>
        </w:rPr>
        <w:t>Commissioner Virk</w:t>
      </w:r>
      <w:r>
        <w:t xml:space="preserve"> responded that during her approximately two and a half years as Commissioner, the Department has not investigated or cited any licensed CPAs or CPA firms for violations of the Workplace Fraud Act. She explained that liability for CPAs would arise only under the statute’s “aiding and abetting” provision, which requires a knowing violation and represents a very high evidentiary bar. She further noted that no citations have been issued against CPAs, accountants, or tax preparers under that provision.</w:t>
      </w:r>
    </w:p>
    <w:p w14:paraId="7E1A38F7" w14:textId="77777777" w:rsidR="006E5FFE" w:rsidRDefault="006E5FFE" w:rsidP="006E5FFE">
      <w:pPr>
        <w:pStyle w:val="NormalWeb"/>
      </w:pPr>
      <w:r>
        <w:lastRenderedPageBreak/>
        <w:t xml:space="preserve">The </w:t>
      </w:r>
      <w:r>
        <w:rPr>
          <w:rStyle w:val="Strong"/>
        </w:rPr>
        <w:t>Chair</w:t>
      </w:r>
      <w:r>
        <w:t xml:space="preserve"> offered a clarifying question regarding the enforcement mechanism described in the bill. He noted that under the bill’s framework, if a knowing violation were ultimately found, licensing consequences could include mandatory suspension, assuming a final adjudication of guilt.</w:t>
      </w:r>
    </w:p>
    <w:p w14:paraId="4F084CA6" w14:textId="77777777" w:rsidR="006E5FFE" w:rsidRDefault="006E5FFE" w:rsidP="006E5FFE">
      <w:pPr>
        <w:pStyle w:val="NormalWeb"/>
      </w:pPr>
      <w:r>
        <w:rPr>
          <w:rStyle w:val="Strong"/>
        </w:rPr>
        <w:t>Commissioner Virk</w:t>
      </w:r>
      <w:r>
        <w:t xml:space="preserve"> confirmed that this was correct and emphasized that any licensing referral would occur only after a full enforcement process. She outlined that the Department’s process includes issuance of a citation, an opportunity for the respondent to contest the citation, a full evidentiary hearing before the Office of Administrative Hearings, and the right to judicial appeal. Only after a final adjudicative finding of a knowing violation would the matter be referred to the appropriate licensing board for consideration of disciplinary action.</w:t>
      </w:r>
    </w:p>
    <w:p w14:paraId="0C714BF5" w14:textId="77777777" w:rsidR="006E5FFE" w:rsidRDefault="006E5FFE" w:rsidP="006E5FFE">
      <w:pPr>
        <w:pStyle w:val="NormalWeb"/>
      </w:pPr>
      <w:r>
        <w:t xml:space="preserve">The </w:t>
      </w:r>
      <w:r>
        <w:rPr>
          <w:rStyle w:val="Strong"/>
        </w:rPr>
        <w:t>Chair</w:t>
      </w:r>
      <w:r>
        <w:t xml:space="preserve"> then asked for additional clarification regarding the definition of “aiding and abetting,” noting practitioner concerns about routine activities such as processing payroll or issuing Forms 1099 based on client-provided information. He asked whether performing such services, without direct involvement in employee classification decisions, could expose a CPA to liability.</w:t>
      </w:r>
    </w:p>
    <w:p w14:paraId="717BACB3" w14:textId="77777777" w:rsidR="006E5FFE" w:rsidRDefault="006E5FFE" w:rsidP="006E5FFE">
      <w:pPr>
        <w:pStyle w:val="NormalWeb"/>
      </w:pPr>
      <w:r>
        <w:rPr>
          <w:rStyle w:val="Strong"/>
        </w:rPr>
        <w:t>Commissioner Virk</w:t>
      </w:r>
      <w:r>
        <w:t xml:space="preserve"> responded that the statutory standard requires intentional conduct undertaken for the purpose of facilitating or evading detection of workplace fraud. She explained that the provision is analogous to fraud standards generally, requiring a knowing misrepresentation or intentional participation in deceptive conduct. She stated that inadvertent errors, reliance on client representations, or routine compliance services would not meet the statutory threshold absent intentional misconduct.</w:t>
      </w:r>
    </w:p>
    <w:p w14:paraId="309D3FCC" w14:textId="77777777" w:rsidR="006E5FFE" w:rsidRDefault="006E5FFE" w:rsidP="006E5FFE">
      <w:pPr>
        <w:pStyle w:val="NormalWeb"/>
      </w:pPr>
      <w:r>
        <w:t xml:space="preserve">The </w:t>
      </w:r>
      <w:r>
        <w:rPr>
          <w:rStyle w:val="Strong"/>
        </w:rPr>
        <w:t>Chair</w:t>
      </w:r>
      <w:r>
        <w:t xml:space="preserve"> asked whether any economic impact analysis had been conducted in connection with the bill.</w:t>
      </w:r>
    </w:p>
    <w:p w14:paraId="1BA536D3" w14:textId="77777777" w:rsidR="006E5FFE" w:rsidRDefault="006E5FFE" w:rsidP="006E5FFE">
      <w:pPr>
        <w:pStyle w:val="NormalWeb"/>
      </w:pPr>
      <w:r>
        <w:rPr>
          <w:rStyle w:val="Strong"/>
        </w:rPr>
        <w:t>Commissioner Virk</w:t>
      </w:r>
      <w:r>
        <w:t xml:space="preserve"> stated that a fiscal note prepared by the Department of Legislative Services accompanies the bill. She explained that the legislation is intended to deter violations by increasing consequences rather than expanding liability. She noted that workplace fraud results in significant economic harm, including lost tax revenue, unpaid workers’ compensation premiums, and diminished unemployment insurance funds, with losses totaling tens of millions of dollars annually as identified in the Joint Enforcement Task Force’s 2025 report.</w:t>
      </w:r>
    </w:p>
    <w:p w14:paraId="2C34FB98" w14:textId="77777777" w:rsidR="006E5FFE" w:rsidRDefault="006E5FFE" w:rsidP="006E5FFE">
      <w:pPr>
        <w:pStyle w:val="NormalWeb"/>
      </w:pPr>
      <w:r>
        <w:t xml:space="preserve">The </w:t>
      </w:r>
      <w:r>
        <w:rPr>
          <w:rStyle w:val="Strong"/>
        </w:rPr>
        <w:t>Chair</w:t>
      </w:r>
      <w:r>
        <w:t xml:space="preserve"> remarked that while enforcement is necessary, the bill may result in increased due diligence obligations for practitioners, potentially increasing compliance costs. He observed that practitioners are likely to take additional steps to avoid exposure, particularly in connection with attestations and annual business filings.</w:t>
      </w:r>
    </w:p>
    <w:p w14:paraId="07A4BFE1" w14:textId="77777777" w:rsidR="006E5FFE" w:rsidRDefault="006E5FFE" w:rsidP="006E5FFE">
      <w:pPr>
        <w:pStyle w:val="NormalWeb"/>
      </w:pPr>
      <w:r>
        <w:rPr>
          <w:rStyle w:val="Strong"/>
        </w:rPr>
        <w:t>Commissioner Virk</w:t>
      </w:r>
      <w:r>
        <w:t xml:space="preserve"> acknowledged those concerns and emphasized that the Department’s primary goal is compliance, not citation. She expressed interest in partnering with the accounting profession and the Board to develop educational resources and guidance materials to assist practitioners in advising clients and promoting lawful classification practices.</w:t>
      </w:r>
    </w:p>
    <w:p w14:paraId="5661BD0E" w14:textId="77777777" w:rsidR="006E5FFE" w:rsidRDefault="006E5FFE" w:rsidP="006E5FFE">
      <w:pPr>
        <w:pStyle w:val="NormalWeb"/>
      </w:pPr>
      <w:r>
        <w:t xml:space="preserve">The </w:t>
      </w:r>
      <w:r>
        <w:rPr>
          <w:rStyle w:val="Strong"/>
        </w:rPr>
        <w:t>Chair</w:t>
      </w:r>
      <w:r>
        <w:t xml:space="preserve"> then asked which other licensed professions would be subject to licensing consequences under the bill.</w:t>
      </w:r>
    </w:p>
    <w:p w14:paraId="7E9EA344" w14:textId="77777777" w:rsidR="006E5FFE" w:rsidRDefault="006E5FFE" w:rsidP="006E5FFE">
      <w:pPr>
        <w:pStyle w:val="NormalWeb"/>
      </w:pPr>
      <w:r>
        <w:rPr>
          <w:rStyle w:val="Strong"/>
        </w:rPr>
        <w:lastRenderedPageBreak/>
        <w:t>Commissioner Virk</w:t>
      </w:r>
      <w:r>
        <w:t xml:space="preserve"> explained that the bill applies to boards overseeing professions connected to the construction and landscaping industries, including mechanical boards, the Maryland Home Improvement Commission, CPAs, and individual tax preparers. She noted that the Workplace Fraud Act currently applies specifically to construction and landscaping employers and that the bill’s reach is limited to aiding and abetting violations within that statutory framework.</w:t>
      </w:r>
    </w:p>
    <w:p w14:paraId="26EA5819" w14:textId="77777777" w:rsidR="006E5FFE" w:rsidRDefault="006E5FFE" w:rsidP="006E5FFE">
      <w:pPr>
        <w:pStyle w:val="NormalWeb"/>
      </w:pPr>
      <w:r>
        <w:t xml:space="preserve">The </w:t>
      </w:r>
      <w:r>
        <w:rPr>
          <w:rStyle w:val="Strong"/>
        </w:rPr>
        <w:t>Chair</w:t>
      </w:r>
      <w:r>
        <w:t xml:space="preserve"> asked whether attorneys were included within the scope of the bill.</w:t>
      </w:r>
    </w:p>
    <w:p w14:paraId="07427C3F" w14:textId="77777777" w:rsidR="006E5FFE" w:rsidRDefault="006E5FFE" w:rsidP="006E5FFE">
      <w:pPr>
        <w:pStyle w:val="NormalWeb"/>
      </w:pPr>
      <w:r>
        <w:rPr>
          <w:rStyle w:val="Strong"/>
        </w:rPr>
        <w:t>Commissioner Virk</w:t>
      </w:r>
      <w:r>
        <w:t xml:space="preserve"> confirmed that attorneys are not included, explaining that they are regulated by a separate authority and are already subject to professional discipline for fraudulent conduct. She reiterated that the bill was necessary to grant occupational licensing boards explicit authority to impose discipline for violations of the Workplace Fraud Act, authority that does not currently exist under many boards’ existing statutes.</w:t>
      </w:r>
    </w:p>
    <w:p w14:paraId="1CA5231A" w14:textId="77777777" w:rsidR="006E5FFE" w:rsidRDefault="006E5FFE" w:rsidP="006E5FFE">
      <w:pPr>
        <w:pStyle w:val="NormalWeb"/>
      </w:pPr>
      <w:r>
        <w:t>The Chair thanked Commissioner Virk for her responses and asked whether there were any additional questions. There being none, the Board thanked Commissioner Virk for her presentation and discussion.</w:t>
      </w:r>
    </w:p>
    <w:p w14:paraId="0640685A" w14:textId="77777777" w:rsidR="006E5FFE" w:rsidRDefault="006E5FFE" w:rsidP="006E5FFE">
      <w:pPr>
        <w:pStyle w:val="NormalWeb"/>
      </w:pPr>
      <w:r>
        <w:t>No formal action was taken.</w:t>
      </w:r>
    </w:p>
    <w:p w14:paraId="218A0398" w14:textId="6232F916" w:rsidR="00EE0AB5" w:rsidRPr="00C663F3" w:rsidRDefault="00EE0AB5" w:rsidP="00C663F3">
      <w:pPr>
        <w:pStyle w:val="Heading2"/>
        <w:rPr>
          <w:rFonts w:asciiTheme="minorHAnsi" w:eastAsia="Calibri" w:hAnsiTheme="minorHAnsi" w:cstheme="minorHAnsi"/>
          <w:b/>
          <w:bCs/>
          <w:i w:val="0"/>
          <w:iCs/>
          <w:sz w:val="22"/>
          <w:szCs w:val="22"/>
          <w:u w:val="none"/>
        </w:rPr>
      </w:pPr>
      <w:r w:rsidRPr="00C663F3">
        <w:rPr>
          <w:rFonts w:asciiTheme="minorHAnsi" w:eastAsia="Calibri" w:hAnsiTheme="minorHAnsi" w:cstheme="minorHAnsi"/>
          <w:b/>
          <w:bCs/>
          <w:i w:val="0"/>
          <w:iCs/>
          <w:sz w:val="22"/>
          <w:szCs w:val="22"/>
          <w:u w:val="none"/>
        </w:rPr>
        <w:t xml:space="preserve">Correspondence </w:t>
      </w:r>
    </w:p>
    <w:p w14:paraId="46B8B177" w14:textId="77777777" w:rsidR="00EE0AB5" w:rsidRPr="00276C95" w:rsidRDefault="00EE0AB5" w:rsidP="00EE0AB5">
      <w:pPr>
        <w:spacing w:after="0"/>
        <w:rPr>
          <w:rFonts w:asciiTheme="minorHAnsi" w:eastAsia="Calibri" w:hAnsiTheme="minorHAnsi" w:cstheme="minorHAnsi"/>
          <w:bCs/>
        </w:rPr>
      </w:pPr>
    </w:p>
    <w:p w14:paraId="367CF481" w14:textId="77777777" w:rsidR="00EE0AB5" w:rsidRPr="00276C95" w:rsidRDefault="00EE0AB5" w:rsidP="00EE0AB5">
      <w:pPr>
        <w:spacing w:after="0"/>
        <w:rPr>
          <w:rFonts w:asciiTheme="minorHAnsi" w:eastAsia="Calibri" w:hAnsiTheme="minorHAnsi" w:cstheme="minorHAnsi"/>
          <w:bCs/>
        </w:rPr>
      </w:pPr>
      <w:r w:rsidRPr="00276C95">
        <w:rPr>
          <w:rFonts w:asciiTheme="minorHAnsi" w:eastAsia="Calibri" w:hAnsiTheme="minorHAnsi" w:cstheme="minorHAnsi"/>
          <w:bCs/>
        </w:rPr>
        <w:t>None</w:t>
      </w:r>
    </w:p>
    <w:p w14:paraId="72BCBD45" w14:textId="77777777" w:rsidR="00EE0AB5" w:rsidRPr="00276C95" w:rsidRDefault="00EE0AB5" w:rsidP="00EE0AB5">
      <w:pPr>
        <w:spacing w:after="0"/>
        <w:rPr>
          <w:rFonts w:asciiTheme="minorHAnsi" w:eastAsia="Calibri" w:hAnsiTheme="minorHAnsi" w:cstheme="minorHAnsi"/>
          <w:bCs/>
        </w:rPr>
      </w:pPr>
    </w:p>
    <w:p w14:paraId="59469379" w14:textId="01BAA8E1" w:rsidR="00EE0AB5" w:rsidRDefault="00EE0AB5" w:rsidP="00EE0AB5">
      <w:pPr>
        <w:spacing w:before="100" w:beforeAutospacing="1" w:after="100" w:afterAutospacing="1"/>
        <w:jc w:val="left"/>
        <w:outlineLvl w:val="1"/>
        <w:rPr>
          <w:rFonts w:asciiTheme="minorHAnsi" w:eastAsia="Times New Roman" w:hAnsiTheme="minorHAnsi" w:cstheme="majorHAnsi"/>
          <w:b/>
          <w:bCs/>
          <w:sz w:val="28"/>
          <w:szCs w:val="28"/>
          <w:lang w:val="en-US"/>
        </w:rPr>
      </w:pPr>
      <w:r w:rsidRPr="00276C95">
        <w:rPr>
          <w:rFonts w:asciiTheme="minorHAnsi" w:eastAsia="Times New Roman" w:hAnsiTheme="minorHAnsi" w:cstheme="majorHAnsi"/>
          <w:b/>
          <w:bCs/>
          <w:sz w:val="28"/>
          <w:szCs w:val="28"/>
          <w:lang w:val="en-US"/>
        </w:rPr>
        <w:t>MACPA Report to the Board</w:t>
      </w:r>
    </w:p>
    <w:p w14:paraId="7AF8C827" w14:textId="4D4C6515" w:rsidR="00DD6357" w:rsidRDefault="00DD6357" w:rsidP="00DD6357">
      <w:pPr>
        <w:pStyle w:val="NormalWeb"/>
      </w:pPr>
      <w:r>
        <w:rPr>
          <w:rStyle w:val="Strong"/>
        </w:rPr>
        <w:t>Rebekah Olson</w:t>
      </w:r>
      <w:r>
        <w:t xml:space="preserve"> provided the report on behalf of the Maryland Association of Certified Public Accountants (MACPA). She began by addressing legislation SB34, noting that the Senate hearing is scheduled for Thursday, and that she had signed up to provide oral testimony. MACPA also submitted written testimony, and Ms. Olson expressed appreciation for the Board’s letter of support. She further noted that the cross-filed bill, HB643, has been filed and that testimony will also be provided at the House hearing once it is scheduled. She emphasized that MACPA is enthusiastic about the progress of the legislation, recognizing the extensive discussion and effort over several years, and expressed gratitude for the Board’s support in advancing the initiative.</w:t>
      </w:r>
    </w:p>
    <w:p w14:paraId="35238C96" w14:textId="77777777" w:rsidR="00DD6357" w:rsidRDefault="00DD6357" w:rsidP="00DD6357">
      <w:pPr>
        <w:pStyle w:val="NormalWeb"/>
      </w:pPr>
      <w:r>
        <w:t xml:space="preserve">Ms. Olson then acknowledged </w:t>
      </w:r>
      <w:r>
        <w:rPr>
          <w:rStyle w:val="Strong"/>
        </w:rPr>
        <w:t>Chairman Wilson</w:t>
      </w:r>
      <w:r>
        <w:t xml:space="preserve"> for addressing MACPA members at CPA Day in Annapolis. She shared that the remarks received positive feedback, with members particularly appreciating the Chairman’s candor and the Board’s focus on clarity in the licensing process, which is especially helpful for students navigating the licensure pathway. She offered MACPA’s ongoing support in providing feedback on Board communications, website resources, and other initiatives.</w:t>
      </w:r>
    </w:p>
    <w:p w14:paraId="2FD51941" w14:textId="77777777" w:rsidR="00DD6357" w:rsidRDefault="00DD6357" w:rsidP="00DD6357">
      <w:pPr>
        <w:pStyle w:val="NormalWeb"/>
      </w:pPr>
      <w:r>
        <w:t xml:space="preserve">Ms. Olson next addressed </w:t>
      </w:r>
      <w:r>
        <w:rPr>
          <w:rStyle w:val="Strong"/>
        </w:rPr>
        <w:t>alternative practice structures</w:t>
      </w:r>
      <w:r>
        <w:t xml:space="preserve">, specifically referencing the current AICPA exposure draft. She noted that MACPA has convened a task force to review and comment on the draft, with </w:t>
      </w:r>
      <w:r>
        <w:rPr>
          <w:rStyle w:val="Strong"/>
        </w:rPr>
        <w:t>Michael Manspeaker</w:t>
      </w:r>
      <w:r>
        <w:t xml:space="preserve"> serving as a member. She encouraged Board members to review the draft and stay engaged in the discussion.</w:t>
      </w:r>
    </w:p>
    <w:p w14:paraId="1D36A663" w14:textId="77777777" w:rsidR="00DD6357" w:rsidRDefault="00DD6357" w:rsidP="00DD6357">
      <w:pPr>
        <w:pStyle w:val="NormalWeb"/>
      </w:pPr>
      <w:r>
        <w:lastRenderedPageBreak/>
        <w:t xml:space="preserve">Finally, Ms. Olson highlighted the upcoming </w:t>
      </w:r>
      <w:r>
        <w:rPr>
          <w:rStyle w:val="Strong"/>
        </w:rPr>
        <w:t>NASBA Executive Directors Conference</w:t>
      </w:r>
      <w:r>
        <w:t>, noting that she looks forward to attending with the Board team in Austin. She also serves on the NASBA State Society Relations Committee and anticipates participating in those meetings while at the conference. She provided a brief update on the House hearing for SB34/HB643, now scheduled in the House Economic Matters Committee at 8:00 a.m., and confirmed that she will provide testimony.</w:t>
      </w:r>
    </w:p>
    <w:p w14:paraId="4995C027" w14:textId="1A804963" w:rsidR="00EE0AB5" w:rsidRPr="00C663F3" w:rsidRDefault="002D0714" w:rsidP="00C663F3">
      <w:pPr>
        <w:pStyle w:val="Heading2"/>
        <w:rPr>
          <w:rFonts w:asciiTheme="minorHAnsi" w:eastAsia="Times New Roman" w:hAnsiTheme="minorHAnsi" w:cs="Times New Roman"/>
          <w:b/>
          <w:bCs/>
          <w:i w:val="0"/>
          <w:iCs/>
          <w:u w:val="none"/>
          <w:lang w:val="en-US"/>
        </w:rPr>
      </w:pPr>
      <w:r w:rsidRPr="00C663F3">
        <w:rPr>
          <w:rFonts w:asciiTheme="minorHAnsi" w:eastAsia="Times New Roman" w:hAnsiTheme="minorHAnsi" w:cs="Arial"/>
          <w:b/>
          <w:bCs/>
          <w:i w:val="0"/>
          <w:iCs/>
          <w:vanish/>
          <w:sz w:val="16"/>
          <w:szCs w:val="16"/>
          <w:u w:val="none"/>
          <w:lang w:val="en-US"/>
        </w:rPr>
        <w:t>Top of FormBottom of Form</w:t>
      </w:r>
      <w:r w:rsidR="00EE0AB5" w:rsidRPr="00C663F3">
        <w:rPr>
          <w:rFonts w:asciiTheme="minorHAnsi" w:hAnsiTheme="minorHAnsi"/>
          <w:b/>
          <w:bCs/>
          <w:i w:val="0"/>
          <w:iCs/>
          <w:u w:val="none"/>
        </w:rPr>
        <w:t>Public Questions and Comments</w:t>
      </w:r>
    </w:p>
    <w:p w14:paraId="10F97336" w14:textId="2A99408B" w:rsidR="00EE0AB5" w:rsidRPr="00F36163" w:rsidRDefault="00EE0AB5" w:rsidP="00EE0AB5">
      <w:pPr>
        <w:spacing w:after="0"/>
        <w:rPr>
          <w:rFonts w:asciiTheme="minorHAnsi" w:eastAsia="Calibri" w:hAnsiTheme="minorHAnsi" w:cstheme="minorHAnsi"/>
          <w:bCs/>
        </w:rPr>
      </w:pPr>
      <w:r w:rsidRPr="00F36163">
        <w:rPr>
          <w:rFonts w:asciiTheme="minorHAnsi" w:eastAsia="Calibri" w:hAnsiTheme="minorHAnsi" w:cstheme="minorHAnsi"/>
          <w:bCs/>
        </w:rPr>
        <w:t>None</w:t>
      </w:r>
    </w:p>
    <w:p w14:paraId="3426A63C" w14:textId="77777777" w:rsidR="00EE0AB5" w:rsidRPr="00276C95" w:rsidRDefault="00EE0AB5" w:rsidP="00EE0AB5">
      <w:pPr>
        <w:spacing w:after="0"/>
        <w:rPr>
          <w:rFonts w:asciiTheme="minorHAnsi" w:eastAsia="Calibri" w:hAnsiTheme="minorHAnsi" w:cstheme="minorHAnsi"/>
          <w:b/>
          <w:bCs/>
        </w:rPr>
      </w:pPr>
    </w:p>
    <w:p w14:paraId="49C4275C" w14:textId="59D29FF0" w:rsidR="00EE0AB5" w:rsidRPr="00C663F3" w:rsidRDefault="00EE0AB5" w:rsidP="00C663F3">
      <w:pPr>
        <w:pStyle w:val="Heading2"/>
        <w:rPr>
          <w:rFonts w:asciiTheme="minorHAnsi" w:hAnsiTheme="minorHAnsi"/>
          <w:b/>
          <w:bCs/>
          <w:i w:val="0"/>
          <w:iCs/>
          <w:u w:val="none"/>
        </w:rPr>
      </w:pPr>
      <w:r w:rsidRPr="00C663F3">
        <w:rPr>
          <w:rFonts w:asciiTheme="minorHAnsi" w:hAnsiTheme="minorHAnsi"/>
          <w:b/>
          <w:bCs/>
          <w:i w:val="0"/>
          <w:iCs/>
          <w:u w:val="none"/>
        </w:rPr>
        <w:t>Closed Session</w:t>
      </w:r>
    </w:p>
    <w:p w14:paraId="0526CCEB" w14:textId="77777777" w:rsidR="00EE0AB5" w:rsidRPr="00276C95" w:rsidRDefault="00EE0AB5" w:rsidP="00EE0AB5">
      <w:pPr>
        <w:spacing w:after="0"/>
        <w:rPr>
          <w:rFonts w:asciiTheme="minorHAnsi" w:eastAsia="Calibri" w:hAnsiTheme="minorHAnsi" w:cstheme="minorHAnsi"/>
          <w:bCs/>
        </w:rPr>
      </w:pPr>
    </w:p>
    <w:p w14:paraId="183463B8" w14:textId="660091F3" w:rsidR="005D51D1" w:rsidRPr="006B6AA1" w:rsidRDefault="00EE0AB5" w:rsidP="005D51D1">
      <w:pPr>
        <w:spacing w:after="0"/>
        <w:rPr>
          <w:rFonts w:asciiTheme="minorHAnsi" w:eastAsia="Calibri" w:hAnsiTheme="minorHAnsi" w:cstheme="minorHAnsi"/>
          <w:bCs/>
        </w:rPr>
      </w:pPr>
      <w:r w:rsidRPr="00276C95">
        <w:rPr>
          <w:rFonts w:asciiTheme="minorHAnsi" w:eastAsia="Calibri" w:hAnsiTheme="minorHAnsi" w:cstheme="minorHAnsi"/>
          <w:bCs/>
        </w:rPr>
        <w:t xml:space="preserve">On a motion </w:t>
      </w:r>
      <w:r w:rsidRPr="00276C95">
        <w:rPr>
          <w:rFonts w:asciiTheme="minorHAnsi" w:eastAsia="Calibri" w:hAnsiTheme="minorHAnsi" w:cstheme="minorHAnsi"/>
          <w:b/>
          <w:bCs/>
        </w:rPr>
        <w:t>(</w:t>
      </w:r>
      <w:r w:rsidR="0091586D" w:rsidRPr="00276C95">
        <w:rPr>
          <w:rFonts w:asciiTheme="minorHAnsi" w:eastAsia="Calibri" w:hAnsiTheme="minorHAnsi" w:cstheme="minorHAnsi"/>
          <w:b/>
          <w:bCs/>
        </w:rPr>
        <w:t>I</w:t>
      </w:r>
      <w:r w:rsidR="00961E4D">
        <w:rPr>
          <w:rFonts w:asciiTheme="minorHAnsi" w:eastAsia="Calibri" w:hAnsiTheme="minorHAnsi" w:cstheme="minorHAnsi"/>
          <w:b/>
          <w:bCs/>
        </w:rPr>
        <w:t>)</w:t>
      </w:r>
      <w:r w:rsidRPr="00276C95">
        <w:rPr>
          <w:rFonts w:asciiTheme="minorHAnsi" w:eastAsia="Calibri" w:hAnsiTheme="minorHAnsi" w:cstheme="minorHAnsi"/>
          <w:bCs/>
        </w:rPr>
        <w:t xml:space="preserve"> by M</w:t>
      </w:r>
      <w:r w:rsidR="0091586D" w:rsidRPr="00276C95">
        <w:rPr>
          <w:rFonts w:asciiTheme="minorHAnsi" w:eastAsia="Calibri" w:hAnsiTheme="minorHAnsi" w:cstheme="minorHAnsi"/>
          <w:bCs/>
        </w:rPr>
        <w:t>s. Gray</w:t>
      </w:r>
      <w:r w:rsidRPr="00276C95">
        <w:rPr>
          <w:rFonts w:asciiTheme="minorHAnsi" w:eastAsia="Calibri" w:hAnsiTheme="minorHAnsi" w:cstheme="minorHAnsi"/>
          <w:bCs/>
        </w:rPr>
        <w:t xml:space="preserve"> and seconded by </w:t>
      </w:r>
      <w:r w:rsidR="00D11AD8" w:rsidRPr="00276C95">
        <w:rPr>
          <w:rFonts w:asciiTheme="minorHAnsi" w:eastAsia="Calibri" w:hAnsiTheme="minorHAnsi" w:cstheme="minorHAnsi"/>
          <w:bCs/>
        </w:rPr>
        <w:t>M</w:t>
      </w:r>
      <w:r w:rsidR="0091586D" w:rsidRPr="00276C95">
        <w:rPr>
          <w:rFonts w:asciiTheme="minorHAnsi" w:eastAsia="Calibri" w:hAnsiTheme="minorHAnsi" w:cstheme="minorHAnsi"/>
          <w:bCs/>
        </w:rPr>
        <w:t>r. Lawson</w:t>
      </w:r>
      <w:r w:rsidR="005D51D1">
        <w:rPr>
          <w:rFonts w:asciiTheme="minorHAnsi" w:eastAsia="Calibri" w:hAnsiTheme="minorHAnsi" w:cstheme="minorHAnsi"/>
          <w:bCs/>
        </w:rPr>
        <w:t>,</w:t>
      </w:r>
      <w:r w:rsidRPr="00276C95">
        <w:rPr>
          <w:rFonts w:asciiTheme="minorHAnsi" w:eastAsia="Calibri" w:hAnsiTheme="minorHAnsi" w:cstheme="minorHAnsi"/>
          <w:bCs/>
        </w:rPr>
        <w:t xml:space="preserve"> the Board voted to move to a closed session at </w:t>
      </w:r>
      <w:r w:rsidR="00961E4D">
        <w:rPr>
          <w:rFonts w:asciiTheme="minorHAnsi" w:eastAsia="Calibri" w:hAnsiTheme="minorHAnsi" w:cstheme="minorHAnsi"/>
          <w:bCs/>
        </w:rPr>
        <w:t>11:05</w:t>
      </w:r>
      <w:r w:rsidRPr="00276C95">
        <w:rPr>
          <w:rFonts w:asciiTheme="minorHAnsi" w:eastAsia="Calibri" w:hAnsiTheme="minorHAnsi" w:cstheme="minorHAnsi"/>
          <w:bCs/>
        </w:rPr>
        <w:t xml:space="preserve"> am via a Google Meets teleconference, where log-in information was only provided to Board members and staff. The purpose of this session was to protect confidential attorney-client communications and licensing information shielded by the Maryland Public Information Act in regard to application </w:t>
      </w:r>
      <w:r w:rsidR="005D51D1">
        <w:rPr>
          <w:rFonts w:asciiTheme="minorHAnsi" w:eastAsia="Calibri" w:hAnsiTheme="minorHAnsi" w:cstheme="minorHAnsi"/>
          <w:bCs/>
        </w:rPr>
        <w:t xml:space="preserve">disclosures </w:t>
      </w:r>
      <w:r w:rsidRPr="00276C95">
        <w:rPr>
          <w:rFonts w:asciiTheme="minorHAnsi" w:eastAsia="Calibri" w:hAnsiTheme="minorHAnsi" w:cstheme="minorHAnsi"/>
          <w:bCs/>
        </w:rPr>
        <w:t xml:space="preserve">(as permitted by Sections 3-305(b)(7) and (b)(13) of the Open Meetings law), as well as to receive the Complaint Committee Report and the minutes of its </w:t>
      </w:r>
      <w:r w:rsidR="00A617A6">
        <w:rPr>
          <w:rFonts w:asciiTheme="minorHAnsi" w:eastAsia="Calibri" w:hAnsiTheme="minorHAnsi" w:cstheme="minorHAnsi"/>
          <w:bCs/>
        </w:rPr>
        <w:t>January</w:t>
      </w:r>
      <w:r w:rsidR="00F609A0">
        <w:rPr>
          <w:rFonts w:asciiTheme="minorHAnsi" w:eastAsia="Calibri" w:hAnsiTheme="minorHAnsi" w:cstheme="minorHAnsi"/>
          <w:bCs/>
        </w:rPr>
        <w:t xml:space="preserve"> </w:t>
      </w:r>
      <w:r w:rsidRPr="00276C95">
        <w:rPr>
          <w:rFonts w:asciiTheme="minorHAnsi" w:eastAsia="Calibri" w:hAnsiTheme="minorHAnsi" w:cstheme="minorHAnsi"/>
          <w:bCs/>
        </w:rPr>
        <w:t>closed session, administrative functions not subject to the Open Meetings law pursuant to Section 3-103(a)(1)(i) of the General Provisions article.</w:t>
      </w:r>
      <w:r w:rsidR="005D51D1">
        <w:rPr>
          <w:rFonts w:asciiTheme="minorHAnsi" w:eastAsia="Calibri" w:hAnsiTheme="minorHAnsi" w:cstheme="minorHAnsi"/>
          <w:bCs/>
        </w:rPr>
        <w:t xml:space="preserve"> Topics of Discussion: application disclosures, complaint committee report, minutes of </w:t>
      </w:r>
      <w:r w:rsidR="00A617A6">
        <w:rPr>
          <w:rFonts w:asciiTheme="minorHAnsi" w:eastAsia="Calibri" w:hAnsiTheme="minorHAnsi" w:cstheme="minorHAnsi"/>
          <w:bCs/>
        </w:rPr>
        <w:t>January</w:t>
      </w:r>
      <w:r w:rsidR="005D51D1">
        <w:rPr>
          <w:rFonts w:asciiTheme="minorHAnsi" w:eastAsia="Calibri" w:hAnsiTheme="minorHAnsi" w:cstheme="minorHAnsi"/>
          <w:bCs/>
        </w:rPr>
        <w:t xml:space="preserve"> closed session. Actions taken: </w:t>
      </w:r>
      <w:r w:rsidR="00DB1D46">
        <w:rPr>
          <w:rFonts w:asciiTheme="minorHAnsi" w:eastAsia="Calibri" w:hAnsiTheme="minorHAnsi" w:cstheme="minorHAnsi"/>
          <w:bCs/>
        </w:rPr>
        <w:t>t</w:t>
      </w:r>
      <w:r w:rsidR="005D51D1">
        <w:rPr>
          <w:rFonts w:asciiTheme="minorHAnsi" w:eastAsia="Calibri" w:hAnsiTheme="minorHAnsi" w:cstheme="minorHAnsi"/>
          <w:bCs/>
        </w:rPr>
        <w:t>he Board voted to allow two applications to proceed</w:t>
      </w:r>
      <w:r w:rsidR="00A617A6">
        <w:rPr>
          <w:rFonts w:asciiTheme="minorHAnsi" w:eastAsia="Calibri" w:hAnsiTheme="minorHAnsi" w:cstheme="minorHAnsi"/>
          <w:bCs/>
        </w:rPr>
        <w:t>, to request more information on a third,</w:t>
      </w:r>
      <w:r w:rsidR="005D51D1">
        <w:rPr>
          <w:rFonts w:asciiTheme="minorHAnsi" w:eastAsia="Calibri" w:hAnsiTheme="minorHAnsi" w:cstheme="minorHAnsi"/>
          <w:bCs/>
        </w:rPr>
        <w:t xml:space="preserve"> </w:t>
      </w:r>
      <w:r w:rsidR="00DB1D46">
        <w:rPr>
          <w:rFonts w:asciiTheme="minorHAnsi" w:eastAsia="Calibri" w:hAnsiTheme="minorHAnsi" w:cstheme="minorHAnsi"/>
          <w:bCs/>
        </w:rPr>
        <w:t xml:space="preserve">and </w:t>
      </w:r>
      <w:r w:rsidR="005D51D1">
        <w:rPr>
          <w:rFonts w:asciiTheme="minorHAnsi" w:eastAsia="Calibri" w:hAnsiTheme="minorHAnsi" w:cstheme="minorHAnsi"/>
          <w:bCs/>
        </w:rPr>
        <w:t xml:space="preserve">to approve the complaint committee report and the </w:t>
      </w:r>
      <w:r w:rsidR="00A617A6">
        <w:rPr>
          <w:rFonts w:asciiTheme="minorHAnsi" w:eastAsia="Calibri" w:hAnsiTheme="minorHAnsi" w:cstheme="minorHAnsi"/>
          <w:bCs/>
        </w:rPr>
        <w:t>January</w:t>
      </w:r>
      <w:r w:rsidR="005D51D1">
        <w:rPr>
          <w:rFonts w:asciiTheme="minorHAnsi" w:eastAsia="Calibri" w:hAnsiTheme="minorHAnsi" w:cstheme="minorHAnsi"/>
          <w:bCs/>
        </w:rPr>
        <w:t xml:space="preserve"> closed session minutes.</w:t>
      </w:r>
    </w:p>
    <w:p w14:paraId="78F65FEC" w14:textId="77777777" w:rsidR="00F609A0" w:rsidRDefault="00F609A0" w:rsidP="00EE0AB5">
      <w:pPr>
        <w:rPr>
          <w:rFonts w:asciiTheme="minorHAnsi" w:eastAsia="Calibri" w:hAnsiTheme="minorHAnsi" w:cstheme="minorHAnsi"/>
          <w:b/>
          <w:sz w:val="24"/>
          <w:szCs w:val="24"/>
        </w:rPr>
      </w:pPr>
    </w:p>
    <w:p w14:paraId="2C9083E8" w14:textId="39A48E5D" w:rsidR="00EE0AB5" w:rsidRPr="00C663F3" w:rsidRDefault="00EE0AB5" w:rsidP="00C663F3">
      <w:pPr>
        <w:pStyle w:val="Heading2"/>
        <w:rPr>
          <w:rFonts w:asciiTheme="minorHAnsi" w:hAnsiTheme="minorHAnsi"/>
          <w:b/>
          <w:bCs/>
          <w:i w:val="0"/>
          <w:iCs/>
          <w:sz w:val="22"/>
          <w:szCs w:val="22"/>
          <w:u w:val="none"/>
        </w:rPr>
      </w:pPr>
      <w:r w:rsidRPr="00C663F3">
        <w:rPr>
          <w:rFonts w:asciiTheme="minorHAnsi" w:hAnsiTheme="minorHAnsi"/>
          <w:b/>
          <w:bCs/>
          <w:i w:val="0"/>
          <w:iCs/>
          <w:sz w:val="22"/>
          <w:szCs w:val="22"/>
          <w:u w:val="none"/>
        </w:rPr>
        <w:t>Return to Open Session</w:t>
      </w:r>
    </w:p>
    <w:p w14:paraId="3F212875" w14:textId="77777777" w:rsidR="00EE0AB5" w:rsidRPr="00276C95" w:rsidRDefault="00EE0AB5" w:rsidP="00EE0AB5">
      <w:pPr>
        <w:ind w:right="-198"/>
        <w:rPr>
          <w:rFonts w:asciiTheme="minorHAnsi" w:eastAsia="Calibri" w:hAnsiTheme="minorHAnsi" w:cstheme="minorBidi"/>
        </w:rPr>
      </w:pPr>
    </w:p>
    <w:p w14:paraId="7619EDC9" w14:textId="7FC150EB" w:rsidR="00EE0AB5" w:rsidRPr="00276C95" w:rsidRDefault="00EE0AB5" w:rsidP="00EE0AB5">
      <w:pPr>
        <w:ind w:right="-198"/>
        <w:rPr>
          <w:rFonts w:asciiTheme="minorHAnsi" w:eastAsia="Calibri" w:hAnsiTheme="minorHAnsi" w:cstheme="minorBidi"/>
        </w:rPr>
      </w:pPr>
      <w:r w:rsidRPr="00276C95">
        <w:rPr>
          <w:rFonts w:asciiTheme="minorHAnsi" w:eastAsia="Calibri" w:hAnsiTheme="minorHAnsi" w:cstheme="minorBidi"/>
        </w:rPr>
        <w:t xml:space="preserve">Upon </w:t>
      </w:r>
      <w:r w:rsidR="00CB2C84" w:rsidRPr="00276C95">
        <w:rPr>
          <w:rFonts w:asciiTheme="minorHAnsi" w:eastAsia="Calibri" w:hAnsiTheme="minorHAnsi" w:cstheme="minorBidi"/>
        </w:rPr>
        <w:t>Motion</w:t>
      </w:r>
      <w:r w:rsidRPr="00276C95">
        <w:rPr>
          <w:rFonts w:asciiTheme="minorHAnsi" w:eastAsia="Calibri" w:hAnsiTheme="minorHAnsi" w:cstheme="minorBidi"/>
        </w:rPr>
        <w:t xml:space="preserve"> </w:t>
      </w:r>
      <w:r w:rsidRPr="00276C95">
        <w:rPr>
          <w:rFonts w:asciiTheme="minorHAnsi" w:eastAsia="Calibri" w:hAnsiTheme="minorHAnsi" w:cstheme="minorBidi"/>
          <w:b/>
          <w:bCs/>
        </w:rPr>
        <w:t>(</w:t>
      </w:r>
      <w:r w:rsidR="0091586D" w:rsidRPr="00276C95">
        <w:rPr>
          <w:rFonts w:asciiTheme="minorHAnsi" w:eastAsia="Calibri" w:hAnsiTheme="minorHAnsi" w:cstheme="minorBidi"/>
          <w:b/>
          <w:bCs/>
        </w:rPr>
        <w:t>I</w:t>
      </w:r>
      <w:r w:rsidR="00961E4D">
        <w:rPr>
          <w:rFonts w:asciiTheme="minorHAnsi" w:eastAsia="Calibri" w:hAnsiTheme="minorHAnsi" w:cstheme="minorBidi"/>
          <w:b/>
          <w:bCs/>
        </w:rPr>
        <w:t>I</w:t>
      </w:r>
      <w:r w:rsidRPr="00276C95">
        <w:rPr>
          <w:rFonts w:asciiTheme="minorHAnsi" w:eastAsia="Calibri" w:hAnsiTheme="minorHAnsi" w:cstheme="minorBidi"/>
          <w:b/>
          <w:bCs/>
        </w:rPr>
        <w:t>)</w:t>
      </w:r>
      <w:r w:rsidRPr="00276C95">
        <w:rPr>
          <w:rFonts w:asciiTheme="minorHAnsi" w:eastAsia="Calibri" w:hAnsiTheme="minorHAnsi" w:cstheme="minorBidi"/>
        </w:rPr>
        <w:t xml:space="preserve"> by Mr. </w:t>
      </w:r>
      <w:r w:rsidR="0091586D" w:rsidRPr="00276C95">
        <w:rPr>
          <w:rFonts w:asciiTheme="minorHAnsi" w:eastAsia="Calibri" w:hAnsiTheme="minorHAnsi" w:cstheme="minorBidi"/>
        </w:rPr>
        <w:t>Lawson</w:t>
      </w:r>
      <w:r w:rsidRPr="00276C95">
        <w:rPr>
          <w:rFonts w:asciiTheme="minorHAnsi" w:eastAsia="Calibri" w:hAnsiTheme="minorHAnsi" w:cstheme="minorBidi"/>
        </w:rPr>
        <w:t xml:space="preserve"> and seconded by M</w:t>
      </w:r>
      <w:r w:rsidR="0091586D" w:rsidRPr="00276C95">
        <w:rPr>
          <w:rFonts w:asciiTheme="minorHAnsi" w:eastAsia="Calibri" w:hAnsiTheme="minorHAnsi" w:cstheme="minorBidi"/>
        </w:rPr>
        <w:t>s. Sotka</w:t>
      </w:r>
      <w:r w:rsidRPr="00276C95">
        <w:rPr>
          <w:rFonts w:asciiTheme="minorHAnsi" w:eastAsia="Calibri" w:hAnsiTheme="minorHAnsi" w:cstheme="minorBidi"/>
        </w:rPr>
        <w:t xml:space="preserve"> the Board unanimously approved </w:t>
      </w:r>
      <w:r w:rsidR="00DB1D46">
        <w:rPr>
          <w:rFonts w:asciiTheme="minorHAnsi" w:eastAsia="Calibri" w:hAnsiTheme="minorHAnsi" w:cstheme="minorBidi"/>
        </w:rPr>
        <w:t xml:space="preserve">and adopted </w:t>
      </w:r>
      <w:r w:rsidRPr="00276C95">
        <w:rPr>
          <w:rFonts w:asciiTheme="minorHAnsi" w:eastAsia="Calibri" w:hAnsiTheme="minorHAnsi" w:cstheme="minorBidi"/>
        </w:rPr>
        <w:t>the motions made during the Closed Session.</w:t>
      </w:r>
    </w:p>
    <w:p w14:paraId="5BC43DB1" w14:textId="77777777" w:rsidR="00EE0AB5" w:rsidRPr="00276C95" w:rsidRDefault="00EE0AB5" w:rsidP="00EE0AB5">
      <w:pPr>
        <w:ind w:right="-198"/>
        <w:rPr>
          <w:rFonts w:asciiTheme="minorHAnsi" w:eastAsia="Calibri" w:hAnsiTheme="minorHAnsi" w:cstheme="minorBidi"/>
        </w:rPr>
      </w:pPr>
    </w:p>
    <w:p w14:paraId="0F8E0CC2" w14:textId="5DCB7D7F" w:rsidR="00E6546F" w:rsidRPr="00C663F3" w:rsidRDefault="00E6546F" w:rsidP="00C663F3">
      <w:pPr>
        <w:rPr>
          <w:rFonts w:asciiTheme="minorHAnsi" w:hAnsiTheme="minorHAnsi"/>
        </w:rPr>
      </w:pPr>
      <w:bookmarkStart w:id="2" w:name="_Hlk213664309"/>
      <w:r w:rsidRPr="00C663F3">
        <w:rPr>
          <w:rFonts w:asciiTheme="minorHAnsi" w:hAnsiTheme="minorHAnsi"/>
        </w:rPr>
        <w:t xml:space="preserve">Upon a motion </w:t>
      </w:r>
      <w:r w:rsidR="006135D7" w:rsidRPr="00C663F3">
        <w:rPr>
          <w:rFonts w:asciiTheme="minorHAnsi" w:hAnsiTheme="minorHAnsi"/>
          <w:b/>
          <w:bCs/>
        </w:rPr>
        <w:t>(</w:t>
      </w:r>
      <w:r w:rsidR="00961E4D">
        <w:rPr>
          <w:rFonts w:asciiTheme="minorHAnsi" w:hAnsiTheme="minorHAnsi"/>
          <w:b/>
          <w:bCs/>
        </w:rPr>
        <w:t>III</w:t>
      </w:r>
      <w:r w:rsidRPr="00C663F3">
        <w:rPr>
          <w:rFonts w:asciiTheme="minorHAnsi" w:hAnsiTheme="minorHAnsi"/>
          <w:b/>
          <w:bCs/>
        </w:rPr>
        <w:t>)</w:t>
      </w:r>
      <w:r w:rsidRPr="00C663F3">
        <w:rPr>
          <w:rFonts w:asciiTheme="minorHAnsi" w:hAnsiTheme="minorHAnsi"/>
        </w:rPr>
        <w:t xml:space="preserve"> by Mr. Wilson</w:t>
      </w:r>
      <w:r w:rsidR="00BD1B6D" w:rsidRPr="00C663F3">
        <w:rPr>
          <w:rFonts w:asciiTheme="minorHAnsi" w:hAnsiTheme="minorHAnsi"/>
        </w:rPr>
        <w:t xml:space="preserve"> II</w:t>
      </w:r>
      <w:r w:rsidRPr="00C663F3">
        <w:rPr>
          <w:rFonts w:asciiTheme="minorHAnsi" w:hAnsiTheme="minorHAnsi"/>
        </w:rPr>
        <w:t xml:space="preserve"> and seconded by Ms. </w:t>
      </w:r>
      <w:r w:rsidR="00C26B09" w:rsidRPr="00C663F3">
        <w:rPr>
          <w:rFonts w:asciiTheme="minorHAnsi" w:hAnsiTheme="minorHAnsi"/>
        </w:rPr>
        <w:t>Sotka</w:t>
      </w:r>
      <w:r w:rsidRPr="00C663F3">
        <w:rPr>
          <w:rFonts w:asciiTheme="minorHAnsi" w:hAnsiTheme="minorHAnsi"/>
        </w:rPr>
        <w:t xml:space="preserve"> the Board adjourned at 1</w:t>
      </w:r>
      <w:r w:rsidR="00961E4D">
        <w:rPr>
          <w:rFonts w:asciiTheme="minorHAnsi" w:hAnsiTheme="minorHAnsi"/>
        </w:rPr>
        <w:t>1:49</w:t>
      </w:r>
      <w:r w:rsidRPr="00C663F3">
        <w:rPr>
          <w:rFonts w:asciiTheme="minorHAnsi" w:hAnsiTheme="minorHAnsi"/>
        </w:rPr>
        <w:t xml:space="preserve"> am.</w:t>
      </w:r>
    </w:p>
    <w:bookmarkEnd w:id="2"/>
    <w:p w14:paraId="0D5C73A0" w14:textId="69630F9B" w:rsidR="00AE6F5F" w:rsidRPr="00276C95" w:rsidRDefault="00AE6F5F" w:rsidP="00AE6F5F">
      <w:pPr>
        <w:rPr>
          <w:rFonts w:asciiTheme="minorHAnsi" w:eastAsia="Calibri" w:hAnsiTheme="minorHAnsi" w:cstheme="minorHAnsi"/>
        </w:rPr>
      </w:pPr>
      <w:r w:rsidRPr="00276C95">
        <w:rPr>
          <w:rFonts w:asciiTheme="minorHAnsi" w:eastAsia="Calibri" w:hAnsiTheme="minorHAnsi" w:cstheme="minorHAnsi"/>
          <w:b/>
        </w:rPr>
        <w:t>NEXT MEETING:</w:t>
      </w:r>
      <w:r w:rsidR="00CD7971" w:rsidRPr="00276C95">
        <w:rPr>
          <w:rFonts w:asciiTheme="minorHAnsi" w:eastAsia="Calibri" w:hAnsiTheme="minorHAnsi" w:cstheme="minorHAnsi"/>
          <w:b/>
        </w:rPr>
        <w:t xml:space="preserve"> </w:t>
      </w:r>
      <w:r w:rsidR="00CD7971" w:rsidRPr="00276C95">
        <w:rPr>
          <w:rFonts w:asciiTheme="minorHAnsi" w:eastAsia="Calibri" w:hAnsiTheme="minorHAnsi" w:cstheme="minorHAnsi"/>
        </w:rPr>
        <w:t>Tuesday,</w:t>
      </w:r>
      <w:r w:rsidR="00CD7971" w:rsidRPr="00276C95">
        <w:rPr>
          <w:rFonts w:asciiTheme="minorHAnsi" w:eastAsia="Calibri" w:hAnsiTheme="minorHAnsi" w:cstheme="minorHAnsi"/>
          <w:b/>
        </w:rPr>
        <w:t xml:space="preserve"> </w:t>
      </w:r>
      <w:r w:rsidR="00961E4D">
        <w:rPr>
          <w:rFonts w:asciiTheme="minorHAnsi" w:eastAsia="Calibri" w:hAnsiTheme="minorHAnsi" w:cstheme="minorHAnsi"/>
          <w:b/>
        </w:rPr>
        <w:t>March</w:t>
      </w:r>
      <w:r w:rsidR="00C26B09" w:rsidRPr="00276C95">
        <w:rPr>
          <w:rFonts w:asciiTheme="minorHAnsi" w:eastAsia="Calibri" w:hAnsiTheme="minorHAnsi" w:cstheme="minorHAnsi"/>
          <w:b/>
        </w:rPr>
        <w:t xml:space="preserve"> 3</w:t>
      </w:r>
      <w:r w:rsidRPr="00276C95">
        <w:rPr>
          <w:rFonts w:asciiTheme="minorHAnsi" w:eastAsia="Calibri" w:hAnsiTheme="minorHAnsi" w:cstheme="minorHAnsi"/>
        </w:rPr>
        <w:t>,</w:t>
      </w:r>
      <w:r w:rsidR="00C26B09" w:rsidRPr="00276C95">
        <w:rPr>
          <w:rFonts w:asciiTheme="minorHAnsi" w:eastAsia="Calibri" w:hAnsiTheme="minorHAnsi" w:cstheme="minorHAnsi"/>
        </w:rPr>
        <w:t xml:space="preserve"> 2026</w:t>
      </w:r>
      <w:r w:rsidRPr="00276C95">
        <w:rPr>
          <w:rFonts w:asciiTheme="minorHAnsi" w:eastAsia="Calibri" w:hAnsiTheme="minorHAnsi" w:cstheme="minorHAnsi"/>
        </w:rPr>
        <w:t xml:space="preserve"> </w:t>
      </w:r>
      <w:r w:rsidR="006F2281" w:rsidRPr="00276C95">
        <w:rPr>
          <w:rFonts w:asciiTheme="minorHAnsi" w:eastAsia="Calibri" w:hAnsiTheme="minorHAnsi" w:cstheme="minorHAnsi"/>
        </w:rPr>
        <w:t>via Google Meets teleconferencing at 9:00</w:t>
      </w:r>
      <w:r w:rsidRPr="00276C95">
        <w:rPr>
          <w:rFonts w:asciiTheme="minorHAnsi" w:eastAsia="Calibri" w:hAnsiTheme="minorHAnsi" w:cstheme="minorHAnsi"/>
        </w:rPr>
        <w:t xml:space="preserve"> AM</w:t>
      </w:r>
    </w:p>
    <w:p w14:paraId="2ECC8396" w14:textId="77777777" w:rsidR="006F3549" w:rsidRPr="00276C95" w:rsidRDefault="006F3549" w:rsidP="00AE6F5F">
      <w:pPr>
        <w:widowControl w:val="0"/>
        <w:rPr>
          <w:rFonts w:asciiTheme="minorHAnsi" w:eastAsia="Calibri" w:hAnsiTheme="minorHAnsi" w:cstheme="minorHAnsi"/>
        </w:rPr>
      </w:pPr>
    </w:p>
    <w:p w14:paraId="76E0EFC0" w14:textId="06CEC527" w:rsidR="006F3549" w:rsidRPr="00276C95" w:rsidRDefault="00AE6F5F" w:rsidP="006F3549">
      <w:pPr>
        <w:widowControl w:val="0"/>
        <w:rPr>
          <w:rFonts w:asciiTheme="minorHAnsi" w:eastAsia="Calibri" w:hAnsiTheme="minorHAnsi" w:cstheme="minorHAnsi"/>
        </w:rPr>
      </w:pPr>
      <w:r w:rsidRPr="00276C95">
        <w:rPr>
          <w:rFonts w:asciiTheme="minorHAnsi" w:eastAsia="Calibri" w:hAnsiTheme="minorHAnsi" w:cstheme="minorHAnsi"/>
        </w:rPr>
        <w:t>_</w:t>
      </w:r>
      <w:r w:rsidR="009A15D3" w:rsidRPr="00276C95">
        <w:rPr>
          <w:rFonts w:asciiTheme="minorHAnsi" w:eastAsia="Calibri" w:hAnsiTheme="minorHAnsi" w:cstheme="minorHAnsi"/>
        </w:rPr>
        <w:t>_</w:t>
      </w:r>
      <w:r w:rsidRPr="00276C95">
        <w:rPr>
          <w:rFonts w:asciiTheme="minorHAnsi" w:eastAsia="Calibri" w:hAnsiTheme="minorHAnsi" w:cstheme="minorHAnsi"/>
        </w:rPr>
        <w:t>_</w:t>
      </w:r>
      <w:r w:rsidR="00E6546F" w:rsidRPr="00276C95">
        <w:rPr>
          <w:rFonts w:asciiTheme="minorHAnsi" w:eastAsia="Calibri" w:hAnsiTheme="minorHAnsi" w:cstheme="minorHAnsi"/>
        </w:rPr>
        <w:t>_____</w:t>
      </w:r>
      <w:r w:rsidRPr="00276C95">
        <w:rPr>
          <w:rFonts w:asciiTheme="minorHAnsi" w:eastAsia="Calibri" w:hAnsiTheme="minorHAnsi" w:cstheme="minorHAnsi"/>
        </w:rPr>
        <w:t>_</w:t>
      </w:r>
      <w:r w:rsidR="003D04D0" w:rsidRPr="00276C95">
        <w:rPr>
          <w:rFonts w:asciiTheme="minorHAnsi" w:eastAsia="Calibri" w:hAnsiTheme="minorHAnsi" w:cstheme="minorHAnsi"/>
        </w:rPr>
        <w:t xml:space="preserve"> </w:t>
      </w:r>
      <w:r w:rsidRPr="00276C95">
        <w:rPr>
          <w:rFonts w:asciiTheme="minorHAnsi" w:eastAsia="Calibri" w:hAnsiTheme="minorHAnsi" w:cstheme="minorHAnsi"/>
        </w:rPr>
        <w:t xml:space="preserve">With </w:t>
      </w:r>
      <w:r w:rsidR="00E6546F" w:rsidRPr="00276C95">
        <w:rPr>
          <w:rFonts w:asciiTheme="minorHAnsi" w:eastAsia="Calibri" w:hAnsiTheme="minorHAnsi" w:cstheme="minorHAnsi"/>
        </w:rPr>
        <w:t>corrections                 ______</w:t>
      </w:r>
      <w:r w:rsidR="00B27801">
        <w:rPr>
          <w:rFonts w:asciiTheme="minorHAnsi" w:eastAsia="Calibri" w:hAnsiTheme="minorHAnsi" w:cstheme="minorHAnsi"/>
        </w:rPr>
        <w:t>x</w:t>
      </w:r>
      <w:r w:rsidR="00E6546F" w:rsidRPr="00276C95">
        <w:rPr>
          <w:rFonts w:asciiTheme="minorHAnsi" w:eastAsia="Calibri" w:hAnsiTheme="minorHAnsi" w:cstheme="minorHAnsi"/>
        </w:rPr>
        <w:t>___</w:t>
      </w:r>
      <w:r w:rsidR="00FA344B" w:rsidRPr="00276C95">
        <w:rPr>
          <w:rFonts w:asciiTheme="minorHAnsi" w:eastAsia="Calibri" w:hAnsiTheme="minorHAnsi" w:cstheme="minorHAnsi"/>
        </w:rPr>
        <w:t>_</w:t>
      </w:r>
      <w:r w:rsidRPr="00276C95">
        <w:rPr>
          <w:rFonts w:asciiTheme="minorHAnsi" w:eastAsia="Calibri" w:hAnsiTheme="minorHAnsi" w:cstheme="minorHAnsi"/>
        </w:rPr>
        <w:t xml:space="preserve">Without corrections </w:t>
      </w:r>
    </w:p>
    <w:p w14:paraId="61D07B3C" w14:textId="50A29A4D" w:rsidR="00AD5F3D" w:rsidRPr="00276C95" w:rsidRDefault="002948B8" w:rsidP="006F3549">
      <w:pPr>
        <w:widowControl w:val="0"/>
        <w:rPr>
          <w:rFonts w:asciiTheme="minorHAnsi" w:eastAsia="Calibri" w:hAnsiTheme="minorHAnsi" w:cstheme="minorHAnsi"/>
        </w:rPr>
      </w:pPr>
      <w:r w:rsidRPr="00276C95">
        <w:rPr>
          <w:rFonts w:asciiTheme="minorHAnsi" w:eastAsia="Calibri" w:hAnsiTheme="minorHAnsi" w:cstheme="minorHAnsi"/>
        </w:rPr>
        <w:tab/>
      </w:r>
      <w:r w:rsidRPr="00276C95">
        <w:rPr>
          <w:rFonts w:asciiTheme="minorHAnsi" w:eastAsia="Calibri" w:hAnsiTheme="minorHAnsi" w:cstheme="minorHAnsi"/>
        </w:rPr>
        <w:tab/>
      </w:r>
    </w:p>
    <w:p w14:paraId="2A839F77" w14:textId="77777777" w:rsidR="00E6546F" w:rsidRPr="00276C95" w:rsidRDefault="002139A4" w:rsidP="002139A4">
      <w:pPr>
        <w:widowControl w:val="0"/>
        <w:rPr>
          <w:rFonts w:asciiTheme="minorHAnsi" w:eastAsia="Calibri" w:hAnsiTheme="minorHAnsi" w:cstheme="minorHAnsi"/>
        </w:rPr>
      </w:pPr>
      <w:r w:rsidRPr="00276C95">
        <w:rPr>
          <w:rFonts w:asciiTheme="minorHAnsi" w:eastAsia="Calibri" w:hAnsiTheme="minorHAnsi" w:cstheme="minorHAnsi"/>
        </w:rPr>
        <w:t xml:space="preserve">      </w:t>
      </w:r>
    </w:p>
    <w:p w14:paraId="2E3558E4" w14:textId="77777777" w:rsidR="00E6546F" w:rsidRPr="00276C95" w:rsidRDefault="00E6546F" w:rsidP="002139A4">
      <w:pPr>
        <w:widowControl w:val="0"/>
        <w:rPr>
          <w:rFonts w:asciiTheme="minorHAnsi" w:eastAsia="Calibri" w:hAnsiTheme="minorHAnsi" w:cstheme="minorHAnsi"/>
        </w:rPr>
      </w:pPr>
    </w:p>
    <w:p w14:paraId="3A019C6F" w14:textId="75BBA3EB" w:rsidR="00E6546F" w:rsidRPr="00276C95" w:rsidRDefault="00E6546F" w:rsidP="002139A4">
      <w:pPr>
        <w:widowControl w:val="0"/>
        <w:rPr>
          <w:rFonts w:asciiTheme="minorHAnsi" w:eastAsia="Calibri" w:hAnsiTheme="minorHAnsi" w:cstheme="minorHAnsi"/>
        </w:rPr>
      </w:pPr>
      <w:r w:rsidRPr="00276C95">
        <w:rPr>
          <w:rFonts w:asciiTheme="minorHAnsi" w:eastAsia="Calibri" w:hAnsiTheme="minorHAnsi" w:cstheme="minorHAnsi"/>
        </w:rPr>
        <w:t xml:space="preserve">    </w:t>
      </w:r>
      <w:r w:rsidR="00B27801">
        <w:rPr>
          <w:rFonts w:asciiTheme="minorHAnsi" w:eastAsia="Calibri" w:hAnsiTheme="minorHAnsi" w:cstheme="minorHAnsi"/>
        </w:rPr>
        <w:t>Signature on file</w:t>
      </w:r>
      <w:r w:rsidR="00B27801">
        <w:rPr>
          <w:rFonts w:asciiTheme="minorHAnsi" w:eastAsia="Calibri" w:hAnsiTheme="minorHAnsi" w:cstheme="minorHAnsi"/>
        </w:rPr>
        <w:tab/>
      </w:r>
      <w:r w:rsidR="00B27801">
        <w:rPr>
          <w:rFonts w:asciiTheme="minorHAnsi" w:eastAsia="Calibri" w:hAnsiTheme="minorHAnsi" w:cstheme="minorHAnsi"/>
        </w:rPr>
        <w:tab/>
      </w:r>
      <w:r w:rsidR="00B27801">
        <w:rPr>
          <w:rFonts w:asciiTheme="minorHAnsi" w:eastAsia="Calibri" w:hAnsiTheme="minorHAnsi" w:cstheme="minorHAnsi"/>
        </w:rPr>
        <w:tab/>
      </w:r>
      <w:r w:rsidR="00B27801">
        <w:rPr>
          <w:rFonts w:asciiTheme="minorHAnsi" w:eastAsia="Calibri" w:hAnsiTheme="minorHAnsi" w:cstheme="minorHAnsi"/>
        </w:rPr>
        <w:tab/>
        <w:t>4/3/2026</w:t>
      </w:r>
    </w:p>
    <w:p w14:paraId="16149819" w14:textId="272D846F" w:rsidR="00AE6F5F" w:rsidRPr="00276C95" w:rsidRDefault="00E6546F" w:rsidP="00E6546F">
      <w:pPr>
        <w:widowControl w:val="0"/>
        <w:rPr>
          <w:rFonts w:asciiTheme="minorHAnsi" w:eastAsia="Calibri" w:hAnsiTheme="minorHAnsi" w:cstheme="minorHAnsi"/>
        </w:rPr>
      </w:pPr>
      <w:r w:rsidRPr="00276C95">
        <w:rPr>
          <w:rFonts w:asciiTheme="minorHAnsi" w:eastAsia="Calibri" w:hAnsiTheme="minorHAnsi" w:cstheme="minorHAnsi"/>
        </w:rPr>
        <w:t xml:space="preserve">       ____________________                  </w:t>
      </w:r>
      <w:r w:rsidR="00AE6F5F" w:rsidRPr="00276C95">
        <w:rPr>
          <w:rFonts w:asciiTheme="minorHAnsi" w:eastAsia="Calibri" w:hAnsiTheme="minorHAnsi" w:cstheme="minorHAnsi"/>
        </w:rPr>
        <w:t xml:space="preserve">                    </w:t>
      </w:r>
      <w:r w:rsidRPr="00276C95">
        <w:rPr>
          <w:rFonts w:asciiTheme="minorHAnsi" w:eastAsia="Calibri" w:hAnsiTheme="minorHAnsi" w:cstheme="minorHAnsi"/>
        </w:rPr>
        <w:t>________________________</w:t>
      </w:r>
    </w:p>
    <w:p w14:paraId="540BFA61" w14:textId="76E85890" w:rsidR="0028794B" w:rsidRDefault="00AE6F5F" w:rsidP="00021D96">
      <w:pPr>
        <w:rPr>
          <w:rFonts w:ascii="Montserrat SemiBold" w:eastAsia="Montserrat SemiBold" w:hAnsi="Montserrat SemiBold" w:cs="Montserrat SemiBold"/>
        </w:rPr>
      </w:pPr>
      <w:r w:rsidRPr="00276C95">
        <w:rPr>
          <w:rFonts w:asciiTheme="minorHAnsi" w:eastAsia="Calibri" w:hAnsiTheme="minorHAnsi" w:cstheme="minorHAnsi"/>
        </w:rPr>
        <w:t xml:space="preserve">           Chairman</w:t>
      </w:r>
      <w:r w:rsidRPr="00E35A6D">
        <w:rPr>
          <w:rFonts w:asciiTheme="minorHAnsi" w:eastAsia="Calibri" w:hAnsiTheme="minorHAnsi" w:cstheme="minorHAnsi"/>
        </w:rPr>
        <w:t xml:space="preserve">                                                       </w:t>
      </w:r>
      <w:r w:rsidRPr="00E35A6D">
        <w:rPr>
          <w:rFonts w:asciiTheme="minorHAnsi" w:eastAsia="Calibri" w:hAnsiTheme="minorHAnsi" w:cstheme="minorHAnsi"/>
        </w:rPr>
        <w:tab/>
      </w:r>
      <w:r w:rsidRPr="00E35A6D">
        <w:rPr>
          <w:rFonts w:asciiTheme="minorHAnsi" w:eastAsia="Calibri" w:hAnsiTheme="minorHAnsi" w:cstheme="minorHAnsi"/>
        </w:rPr>
        <w:tab/>
        <w:t xml:space="preserve">Date </w:t>
      </w:r>
      <w:r w:rsidR="00502E9F">
        <w:rPr>
          <w:rFonts w:ascii="Montserrat SemiBold" w:eastAsia="Montserrat SemiBold" w:hAnsi="Montserrat SemiBold" w:cs="Montserrat SemiBold"/>
        </w:rPr>
        <w:tab/>
      </w:r>
      <w:r w:rsidR="00502E9F">
        <w:rPr>
          <w:rFonts w:ascii="Montserrat SemiBold" w:eastAsia="Montserrat SemiBold" w:hAnsi="Montserrat SemiBold" w:cs="Montserrat SemiBold"/>
        </w:rPr>
        <w:tab/>
      </w:r>
    </w:p>
    <w:sectPr w:rsidR="0028794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72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FAEE7" w14:textId="77777777" w:rsidR="00101841" w:rsidRDefault="00101841">
      <w:pPr>
        <w:spacing w:after="0"/>
      </w:pPr>
      <w:r>
        <w:separator/>
      </w:r>
    </w:p>
  </w:endnote>
  <w:endnote w:type="continuationSeparator" w:id="0">
    <w:p w14:paraId="38DA3B99" w14:textId="77777777" w:rsidR="00101841" w:rsidRDefault="001018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C0E7" w14:textId="77777777" w:rsidR="00A00C75" w:rsidRDefault="00A00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C863" w14:textId="60186870" w:rsidR="00CA2879" w:rsidRDefault="00502E9F">
    <w:pPr>
      <w:spacing w:before="240" w:after="240" w:line="360" w:lineRule="auto"/>
      <w:jc w:val="right"/>
    </w:pPr>
    <w:r>
      <w:fldChar w:fldCharType="begin"/>
    </w:r>
    <w:r>
      <w:instrText>PAGE</w:instrText>
    </w:r>
    <w:r>
      <w:fldChar w:fldCharType="separate"/>
    </w:r>
    <w:r w:rsidR="00D73F2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2971" w14:textId="77777777" w:rsidR="00CA2879" w:rsidRDefault="00FE1D9B">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www.dl</w:t>
    </w:r>
    <w:r w:rsidR="00832F5B">
      <w:rPr>
        <w:rFonts w:ascii="Century Gothic" w:eastAsia="Century Gothic" w:hAnsi="Century Gothic" w:cs="Century Gothic"/>
        <w:sz w:val="18"/>
        <w:szCs w:val="18"/>
      </w:rPr>
      <w:t>llr.state.md.us/license/cpa/</w:t>
    </w:r>
  </w:p>
  <w:p w14:paraId="776BC377" w14:textId="77777777" w:rsidR="00CA2879" w:rsidRPr="00A00C75" w:rsidRDefault="00A00C75">
    <w:pPr>
      <w:tabs>
        <w:tab w:val="center" w:pos="4680"/>
        <w:tab w:val="right" w:pos="9360"/>
      </w:tabs>
      <w:spacing w:before="240" w:after="0"/>
      <w:jc w:val="center"/>
      <w:rPr>
        <w:rFonts w:ascii="Montserrat" w:eastAsia="Montserrat" w:hAnsi="Montserrat" w:cs="Montserrat"/>
        <w:sz w:val="20"/>
        <w:szCs w:val="20"/>
      </w:rPr>
    </w:pPr>
    <w:bookmarkStart w:id="3" w:name="_gjdgxs" w:colFirst="0" w:colLast="0"/>
    <w:bookmarkEnd w:id="3"/>
    <w:r w:rsidRPr="00A00C75">
      <w:rPr>
        <w:rFonts w:ascii="Century Gothic" w:eastAsia="Century Gothic" w:hAnsi="Century Gothic" w:cs="Century Gothic"/>
        <w:smallCaps/>
        <w:sz w:val="20"/>
        <w:szCs w:val="20"/>
      </w:rPr>
      <w:t>wes moore, governor</w:t>
    </w:r>
    <w:r w:rsidR="00502E9F" w:rsidRPr="00A00C75">
      <w:rPr>
        <w:rFonts w:ascii="Century Gothic" w:eastAsia="Century Gothic" w:hAnsi="Century Gothic" w:cs="Century Gothic"/>
        <w:smallCaps/>
        <w:sz w:val="20"/>
        <w:szCs w:val="20"/>
      </w:rPr>
      <w:t xml:space="preserve">  |  </w:t>
    </w:r>
    <w:r w:rsidRPr="00A00C75">
      <w:rPr>
        <w:rFonts w:ascii="Century Gothic" w:eastAsia="Century Gothic" w:hAnsi="Century Gothic" w:cs="Century Gothic"/>
        <w:smallCaps/>
        <w:sz w:val="20"/>
        <w:szCs w:val="20"/>
      </w:rPr>
      <w:t>aruna miller, lt. governor</w:t>
    </w:r>
    <w:r w:rsidR="00502E9F" w:rsidRPr="00A00C75">
      <w:rPr>
        <w:rFonts w:ascii="Century Gothic" w:eastAsia="Century Gothic" w:hAnsi="Century Gothic" w:cs="Century Gothic"/>
        <w:smallCaps/>
        <w:sz w:val="20"/>
        <w:szCs w:val="20"/>
      </w:rPr>
      <w:t xml:space="preserve">  |   </w:t>
    </w:r>
    <w:r w:rsidRPr="00A00C75">
      <w:rPr>
        <w:rFonts w:ascii="Century Gothic" w:eastAsia="Century Gothic" w:hAnsi="Century Gothic" w:cs="Century Gothic"/>
        <w:smallCaps/>
        <w:sz w:val="20"/>
        <w:szCs w:val="20"/>
      </w:rPr>
      <w:t>portia wu, secretary</w:t>
    </w:r>
    <w:r w:rsidR="00502E9F" w:rsidRPr="00A00C75">
      <w:rPr>
        <w:rFonts w:ascii="Century Gothic" w:eastAsia="Century Gothic" w:hAnsi="Century Gothic" w:cs="Century Gothic"/>
        <w:smallCaps/>
        <w:sz w:val="20"/>
        <w:szCs w:val="20"/>
      </w:rPr>
      <w:t xml:space="preserve"> </w:t>
    </w:r>
    <w:r w:rsidR="00502E9F" w:rsidRPr="00A00C75">
      <w:rPr>
        <w:noProof/>
        <w:sz w:val="20"/>
        <w:szCs w:val="20"/>
        <w:lang w:val="en-US"/>
      </w:rPr>
      <mc:AlternateContent>
        <mc:Choice Requires="wps">
          <w:drawing>
            <wp:anchor distT="0" distB="0" distL="114300" distR="114300" simplePos="0" relativeHeight="251660288" behindDoc="0" locked="0" layoutInCell="1" hidden="0" allowOverlap="1" wp14:anchorId="1AD1C9CF" wp14:editId="7D37BFEB">
              <wp:simplePos x="0" y="0"/>
              <wp:positionH relativeFrom="column">
                <wp:posOffset>76201</wp:posOffset>
              </wp:positionH>
              <wp:positionV relativeFrom="paragraph">
                <wp:posOffset>76200</wp:posOffset>
              </wp:positionV>
              <wp:extent cx="5867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w:pict>
            <v:shapetype w14:anchorId="09FE7026" id="_x0000_t32" coordsize="21600,21600" o:spt="32" o:oned="t" path="m,l21600,21600e" filled="f">
              <v:path arrowok="t" fillok="f" o:connecttype="none"/>
              <o:lock v:ext="edit" shapetype="t"/>
            </v:shapetype>
            <v:shape id="Straight Arrow Connector 1" o:spid="_x0000_s1026" type="#_x0000_t32" style="position:absolute;margin-left:6pt;margin-top:6pt;width:462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" strokecolor="#981e32" strokeweight="1pt">
              <v:stroke startarrowwidth="narrow" startarrowlength="short" endarrowwidth="narrow" endarrowlength="short" joinstyle="miter"/>
            </v:shape>
          </w:pict>
        </mc:Fallback>
      </mc:AlternateContent>
    </w:r>
  </w:p>
  <w:p w14:paraId="7C36B040" w14:textId="77777777" w:rsidR="00CA2879" w:rsidRDefault="00CA28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DA4B2" w14:textId="77777777" w:rsidR="00101841" w:rsidRDefault="00101841">
      <w:pPr>
        <w:spacing w:after="0"/>
      </w:pPr>
      <w:r>
        <w:separator/>
      </w:r>
    </w:p>
  </w:footnote>
  <w:footnote w:type="continuationSeparator" w:id="0">
    <w:p w14:paraId="61D8D170" w14:textId="77777777" w:rsidR="00101841" w:rsidRDefault="001018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F0CA" w14:textId="77777777" w:rsidR="00A00C75" w:rsidRDefault="00A00C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DFCB" w14:textId="77777777" w:rsidR="00CA2879" w:rsidRDefault="00CA2879">
    <w:pPr>
      <w:tabs>
        <w:tab w:val="center" w:pos="4680"/>
        <w:tab w:val="right" w:pos="9360"/>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0613" w14:textId="77777777" w:rsidR="00CA2879" w:rsidRDefault="00BB6BBF">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OCCUPATIONAL &amp; PROFESSIONAL LICENSING</w:t>
    </w:r>
    <w:r>
      <w:rPr>
        <w:rFonts w:ascii="Century Gothic" w:eastAsia="Century Gothic" w:hAnsi="Century Gothic" w:cs="Century Gothic"/>
      </w:rPr>
      <w:br/>
    </w:r>
    <w:r w:rsidR="00502E9F">
      <w:rPr>
        <w:noProof/>
        <w:lang w:val="en-US"/>
      </w:rPr>
      <w:drawing>
        <wp:anchor distT="0" distB="0" distL="114300" distR="114300" simplePos="0" relativeHeight="251658240" behindDoc="0" locked="0" layoutInCell="1" hidden="0" allowOverlap="1" wp14:anchorId="5235FFC3" wp14:editId="7CA1B06E">
          <wp:simplePos x="0" y="0"/>
          <wp:positionH relativeFrom="column">
            <wp:posOffset>1</wp:posOffset>
          </wp:positionH>
          <wp:positionV relativeFrom="paragraph">
            <wp:posOffset>9525</wp:posOffset>
          </wp:positionV>
          <wp:extent cx="2156185" cy="646856"/>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r>
      <w:rPr>
        <w:rFonts w:ascii="Century Gothic" w:eastAsia="Century Gothic" w:hAnsi="Century Gothic" w:cs="Century Gothic"/>
      </w:rPr>
      <w:t xml:space="preserve">BOARD OF </w:t>
    </w:r>
    <w:r w:rsidR="005C4696">
      <w:rPr>
        <w:rFonts w:ascii="Century Gothic" w:eastAsia="Century Gothic" w:hAnsi="Century Gothic" w:cs="Century Gothic"/>
      </w:rPr>
      <w:t>CERTIFIED PUBLIC ACCOUNTANTS</w:t>
    </w:r>
  </w:p>
  <w:p w14:paraId="5ECDF306" w14:textId="0EF97A41" w:rsidR="00CA2879" w:rsidRDefault="00060C9F">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100 S. Charles St.</w:t>
    </w:r>
    <w:r w:rsidR="00BB6BBF">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Tower 1</w:t>
    </w:r>
  </w:p>
  <w:p w14:paraId="1DF10B38" w14:textId="77777777" w:rsidR="00CA2879" w:rsidRDefault="00BB6BBF">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14:paraId="4348153F" w14:textId="77777777" w:rsidR="00CA2879" w:rsidRDefault="00502E9F">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Pr>
        <w:noProof/>
        <w:lang w:val="en-US"/>
      </w:rPr>
      <mc:AlternateContent>
        <mc:Choice Requires="wps">
          <w:drawing>
            <wp:anchor distT="0" distB="0" distL="114300" distR="114300" simplePos="0" relativeHeight="251659264" behindDoc="0" locked="0" layoutInCell="1" hidden="0" allowOverlap="1" wp14:anchorId="61FA6EEF" wp14:editId="5F7EB425">
              <wp:simplePos x="0" y="0"/>
              <wp:positionH relativeFrom="column">
                <wp:posOffset>1</wp:posOffset>
              </wp:positionH>
              <wp:positionV relativeFrom="paragraph">
                <wp:posOffset>241300</wp:posOffset>
              </wp:positionV>
              <wp:extent cx="5943600" cy="18989"/>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w:pict>
            <v:shapetype w14:anchorId="1C888D5C" id="_x0000_t32" coordsize="21600,21600" o:spt="32" o:oned="t" path="m,l21600,21600e" filled="f">
              <v:path arrowok="t" fillok="f" o:connecttype="none"/>
              <o:lock v:ext="edit" shapetype="t"/>
            </v:shapetype>
            <v:shape id="Straight Arrow Connector 2" o:spid="_x0000_s1026" type="#_x0000_t32" style="position:absolute;margin-left:0;margin-top:19pt;width:468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" strokecolor="#981e32" strokeweight="1pt">
              <v:stroke startarrowwidth="narrow" startarrowlength="short" endarrowwidth="narrow" endarrowlength="short" joinstyle="miter"/>
            </v:shape>
          </w:pict>
        </mc:Fallback>
      </mc:AlternateContent>
    </w:r>
  </w:p>
  <w:p w14:paraId="3F63EAAD" w14:textId="77777777" w:rsidR="00CA2879" w:rsidRDefault="00CA28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6D8D"/>
    <w:multiLevelType w:val="multilevel"/>
    <w:tmpl w:val="0E7A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F71F2"/>
    <w:multiLevelType w:val="multilevel"/>
    <w:tmpl w:val="5114D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F5741"/>
    <w:multiLevelType w:val="multilevel"/>
    <w:tmpl w:val="4F18E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521E82"/>
    <w:multiLevelType w:val="hybridMultilevel"/>
    <w:tmpl w:val="D6EEF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C3EFC"/>
    <w:multiLevelType w:val="multilevel"/>
    <w:tmpl w:val="0B40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A5B8F"/>
    <w:multiLevelType w:val="multilevel"/>
    <w:tmpl w:val="9EE0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C0DFC"/>
    <w:multiLevelType w:val="multilevel"/>
    <w:tmpl w:val="7584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AC5534"/>
    <w:multiLevelType w:val="multilevel"/>
    <w:tmpl w:val="CFB6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B457E6"/>
    <w:multiLevelType w:val="hybridMultilevel"/>
    <w:tmpl w:val="084EF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0A2B5D"/>
    <w:multiLevelType w:val="hybridMultilevel"/>
    <w:tmpl w:val="441E8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A3264"/>
    <w:multiLevelType w:val="hybridMultilevel"/>
    <w:tmpl w:val="3A52E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145D7"/>
    <w:multiLevelType w:val="hybridMultilevel"/>
    <w:tmpl w:val="F566D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527EDE"/>
    <w:multiLevelType w:val="hybridMultilevel"/>
    <w:tmpl w:val="6B62267E"/>
    <w:lvl w:ilvl="0" w:tplc="BE0EA7A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277FE5"/>
    <w:multiLevelType w:val="multilevel"/>
    <w:tmpl w:val="A6CA3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963513"/>
    <w:multiLevelType w:val="hybridMultilevel"/>
    <w:tmpl w:val="C9E01500"/>
    <w:lvl w:ilvl="0" w:tplc="FC0A999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A465622"/>
    <w:multiLevelType w:val="multilevel"/>
    <w:tmpl w:val="631CB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265721"/>
    <w:multiLevelType w:val="hybridMultilevel"/>
    <w:tmpl w:val="B78876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36482"/>
    <w:multiLevelType w:val="hybridMultilevel"/>
    <w:tmpl w:val="EEC20C66"/>
    <w:lvl w:ilvl="0" w:tplc="9BAEEE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8D6B05"/>
    <w:multiLevelType w:val="multilevel"/>
    <w:tmpl w:val="C27CA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EC40D2"/>
    <w:multiLevelType w:val="hybridMultilevel"/>
    <w:tmpl w:val="5406F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DF28AF"/>
    <w:multiLevelType w:val="multilevel"/>
    <w:tmpl w:val="1446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3A00AC"/>
    <w:multiLevelType w:val="multilevel"/>
    <w:tmpl w:val="F45C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0A1FFE"/>
    <w:multiLevelType w:val="hybridMultilevel"/>
    <w:tmpl w:val="95C04A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573EA2"/>
    <w:multiLevelType w:val="hybridMultilevel"/>
    <w:tmpl w:val="C28030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942AE4"/>
    <w:multiLevelType w:val="multilevel"/>
    <w:tmpl w:val="3448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5B3FDC"/>
    <w:multiLevelType w:val="multilevel"/>
    <w:tmpl w:val="59EAC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C50A51"/>
    <w:multiLevelType w:val="multilevel"/>
    <w:tmpl w:val="E564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642832"/>
    <w:multiLevelType w:val="hybridMultilevel"/>
    <w:tmpl w:val="8E54D9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AF7E5F"/>
    <w:multiLevelType w:val="multilevel"/>
    <w:tmpl w:val="B69E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746850"/>
    <w:multiLevelType w:val="multilevel"/>
    <w:tmpl w:val="3BC67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18287D"/>
    <w:multiLevelType w:val="hybridMultilevel"/>
    <w:tmpl w:val="818651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090341"/>
    <w:multiLevelType w:val="hybridMultilevel"/>
    <w:tmpl w:val="BE9A8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1381577">
    <w:abstractNumId w:val="10"/>
  </w:num>
  <w:num w:numId="2" w16cid:durableId="1559318604">
    <w:abstractNumId w:val="30"/>
  </w:num>
  <w:num w:numId="3" w16cid:durableId="979115728">
    <w:abstractNumId w:val="9"/>
  </w:num>
  <w:num w:numId="4" w16cid:durableId="101145601">
    <w:abstractNumId w:val="19"/>
  </w:num>
  <w:num w:numId="5" w16cid:durableId="671882805">
    <w:abstractNumId w:val="11"/>
  </w:num>
  <w:num w:numId="6" w16cid:durableId="129591843">
    <w:abstractNumId w:val="27"/>
  </w:num>
  <w:num w:numId="7" w16cid:durableId="308749629">
    <w:abstractNumId w:val="22"/>
  </w:num>
  <w:num w:numId="8" w16cid:durableId="535197391">
    <w:abstractNumId w:val="31"/>
  </w:num>
  <w:num w:numId="9" w16cid:durableId="206188504">
    <w:abstractNumId w:val="3"/>
  </w:num>
  <w:num w:numId="10" w16cid:durableId="284696739">
    <w:abstractNumId w:val="8"/>
  </w:num>
  <w:num w:numId="11" w16cid:durableId="1839073119">
    <w:abstractNumId w:val="14"/>
  </w:num>
  <w:num w:numId="12" w16cid:durableId="731198645">
    <w:abstractNumId w:val="16"/>
  </w:num>
  <w:num w:numId="13" w16cid:durableId="827941943">
    <w:abstractNumId w:val="17"/>
  </w:num>
  <w:num w:numId="14" w16cid:durableId="1543791027">
    <w:abstractNumId w:val="23"/>
  </w:num>
  <w:num w:numId="15" w16cid:durableId="1315330798">
    <w:abstractNumId w:val="4"/>
  </w:num>
  <w:num w:numId="16" w16cid:durableId="1126660156">
    <w:abstractNumId w:val="13"/>
  </w:num>
  <w:num w:numId="17" w16cid:durableId="1598127172">
    <w:abstractNumId w:val="24"/>
  </w:num>
  <w:num w:numId="18" w16cid:durableId="44721331">
    <w:abstractNumId w:val="0"/>
  </w:num>
  <w:num w:numId="19" w16cid:durableId="526212844">
    <w:abstractNumId w:val="29"/>
  </w:num>
  <w:num w:numId="20" w16cid:durableId="1641423276">
    <w:abstractNumId w:val="18"/>
  </w:num>
  <w:num w:numId="21" w16cid:durableId="1007174173">
    <w:abstractNumId w:val="1"/>
  </w:num>
  <w:num w:numId="22" w16cid:durableId="1088041166">
    <w:abstractNumId w:val="5"/>
  </w:num>
  <w:num w:numId="23" w16cid:durableId="485322791">
    <w:abstractNumId w:val="6"/>
  </w:num>
  <w:num w:numId="24" w16cid:durableId="1780103646">
    <w:abstractNumId w:val="7"/>
  </w:num>
  <w:num w:numId="25" w16cid:durableId="1729644848">
    <w:abstractNumId w:val="20"/>
  </w:num>
  <w:num w:numId="26" w16cid:durableId="1016078370">
    <w:abstractNumId w:val="2"/>
  </w:num>
  <w:num w:numId="27" w16cid:durableId="1941182848">
    <w:abstractNumId w:val="26"/>
  </w:num>
  <w:num w:numId="28" w16cid:durableId="1828473412">
    <w:abstractNumId w:val="12"/>
  </w:num>
  <w:num w:numId="29" w16cid:durableId="94987993">
    <w:abstractNumId w:val="25"/>
  </w:num>
  <w:num w:numId="30" w16cid:durableId="1483543451">
    <w:abstractNumId w:val="21"/>
  </w:num>
  <w:num w:numId="31" w16cid:durableId="897474925">
    <w:abstractNumId w:val="28"/>
  </w:num>
  <w:num w:numId="32" w16cid:durableId="644940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879"/>
    <w:rsid w:val="00012E39"/>
    <w:rsid w:val="00021D96"/>
    <w:rsid w:val="00024AFC"/>
    <w:rsid w:val="00025764"/>
    <w:rsid w:val="00025C59"/>
    <w:rsid w:val="00027DE6"/>
    <w:rsid w:val="00030B4F"/>
    <w:rsid w:val="00033071"/>
    <w:rsid w:val="0003319B"/>
    <w:rsid w:val="000415D3"/>
    <w:rsid w:val="00043025"/>
    <w:rsid w:val="00043FFB"/>
    <w:rsid w:val="0004535C"/>
    <w:rsid w:val="000466B2"/>
    <w:rsid w:val="00050C22"/>
    <w:rsid w:val="00052FB1"/>
    <w:rsid w:val="00053430"/>
    <w:rsid w:val="0005372D"/>
    <w:rsid w:val="00060C9F"/>
    <w:rsid w:val="00060F01"/>
    <w:rsid w:val="00061733"/>
    <w:rsid w:val="00061C70"/>
    <w:rsid w:val="00063799"/>
    <w:rsid w:val="000660E0"/>
    <w:rsid w:val="00071779"/>
    <w:rsid w:val="00081107"/>
    <w:rsid w:val="000847B9"/>
    <w:rsid w:val="00090B4F"/>
    <w:rsid w:val="00092A61"/>
    <w:rsid w:val="00094C03"/>
    <w:rsid w:val="00097BB6"/>
    <w:rsid w:val="000A1249"/>
    <w:rsid w:val="000A35B0"/>
    <w:rsid w:val="000A4E02"/>
    <w:rsid w:val="000A5372"/>
    <w:rsid w:val="000A5373"/>
    <w:rsid w:val="000B4411"/>
    <w:rsid w:val="000C1CC8"/>
    <w:rsid w:val="000D0B7C"/>
    <w:rsid w:val="000D3D01"/>
    <w:rsid w:val="000D5B18"/>
    <w:rsid w:val="000E3394"/>
    <w:rsid w:val="000E356A"/>
    <w:rsid w:val="000E4415"/>
    <w:rsid w:val="000E7CDB"/>
    <w:rsid w:val="000F4BC4"/>
    <w:rsid w:val="000F51BB"/>
    <w:rsid w:val="00101841"/>
    <w:rsid w:val="00103717"/>
    <w:rsid w:val="00113074"/>
    <w:rsid w:val="001203C8"/>
    <w:rsid w:val="00121C6C"/>
    <w:rsid w:val="00124C47"/>
    <w:rsid w:val="00131952"/>
    <w:rsid w:val="00131983"/>
    <w:rsid w:val="00142F78"/>
    <w:rsid w:val="0014675E"/>
    <w:rsid w:val="00152A57"/>
    <w:rsid w:val="00153A0F"/>
    <w:rsid w:val="00157CAD"/>
    <w:rsid w:val="00172700"/>
    <w:rsid w:val="001825D6"/>
    <w:rsid w:val="00185565"/>
    <w:rsid w:val="00187970"/>
    <w:rsid w:val="00191446"/>
    <w:rsid w:val="00193038"/>
    <w:rsid w:val="00194522"/>
    <w:rsid w:val="001A0F01"/>
    <w:rsid w:val="001A1571"/>
    <w:rsid w:val="001B48AB"/>
    <w:rsid w:val="001C0A3C"/>
    <w:rsid w:val="001C63A8"/>
    <w:rsid w:val="001C6F05"/>
    <w:rsid w:val="001C7B46"/>
    <w:rsid w:val="001D3E09"/>
    <w:rsid w:val="001E4243"/>
    <w:rsid w:val="001E53DF"/>
    <w:rsid w:val="001E69F0"/>
    <w:rsid w:val="001E752F"/>
    <w:rsid w:val="001E7547"/>
    <w:rsid w:val="001F1ECA"/>
    <w:rsid w:val="001F368A"/>
    <w:rsid w:val="001F36B4"/>
    <w:rsid w:val="001F452F"/>
    <w:rsid w:val="001F6020"/>
    <w:rsid w:val="00200C3D"/>
    <w:rsid w:val="00205E1E"/>
    <w:rsid w:val="00206450"/>
    <w:rsid w:val="00212397"/>
    <w:rsid w:val="002139A4"/>
    <w:rsid w:val="002178A4"/>
    <w:rsid w:val="002338D1"/>
    <w:rsid w:val="00234735"/>
    <w:rsid w:val="00240068"/>
    <w:rsid w:val="0024252C"/>
    <w:rsid w:val="00242C06"/>
    <w:rsid w:val="0025444C"/>
    <w:rsid w:val="00270867"/>
    <w:rsid w:val="00276C95"/>
    <w:rsid w:val="00277411"/>
    <w:rsid w:val="0027767F"/>
    <w:rsid w:val="00285567"/>
    <w:rsid w:val="002864E4"/>
    <w:rsid w:val="00287904"/>
    <w:rsid w:val="0028794B"/>
    <w:rsid w:val="002948B8"/>
    <w:rsid w:val="002A5500"/>
    <w:rsid w:val="002A575F"/>
    <w:rsid w:val="002A75DB"/>
    <w:rsid w:val="002B0C6A"/>
    <w:rsid w:val="002B445E"/>
    <w:rsid w:val="002B490F"/>
    <w:rsid w:val="002B5A22"/>
    <w:rsid w:val="002C0450"/>
    <w:rsid w:val="002C07E6"/>
    <w:rsid w:val="002C260D"/>
    <w:rsid w:val="002D04E2"/>
    <w:rsid w:val="002D06A1"/>
    <w:rsid w:val="002D0714"/>
    <w:rsid w:val="002D77DD"/>
    <w:rsid w:val="002E1241"/>
    <w:rsid w:val="002E4DA5"/>
    <w:rsid w:val="002E68D5"/>
    <w:rsid w:val="002F23CA"/>
    <w:rsid w:val="002F7B3F"/>
    <w:rsid w:val="003001A8"/>
    <w:rsid w:val="003009BD"/>
    <w:rsid w:val="0030323A"/>
    <w:rsid w:val="003044F3"/>
    <w:rsid w:val="00311CCB"/>
    <w:rsid w:val="003143F0"/>
    <w:rsid w:val="003147FD"/>
    <w:rsid w:val="0031675B"/>
    <w:rsid w:val="00322D42"/>
    <w:rsid w:val="00323C02"/>
    <w:rsid w:val="0032617A"/>
    <w:rsid w:val="00330596"/>
    <w:rsid w:val="003305E7"/>
    <w:rsid w:val="003308AE"/>
    <w:rsid w:val="003312D5"/>
    <w:rsid w:val="0033472E"/>
    <w:rsid w:val="00340A7A"/>
    <w:rsid w:val="0035097B"/>
    <w:rsid w:val="003566F3"/>
    <w:rsid w:val="003575D5"/>
    <w:rsid w:val="00360330"/>
    <w:rsid w:val="00360862"/>
    <w:rsid w:val="00362F3A"/>
    <w:rsid w:val="00363ECC"/>
    <w:rsid w:val="00367582"/>
    <w:rsid w:val="003675B8"/>
    <w:rsid w:val="00370A73"/>
    <w:rsid w:val="003711FB"/>
    <w:rsid w:val="00376196"/>
    <w:rsid w:val="00377623"/>
    <w:rsid w:val="00383D90"/>
    <w:rsid w:val="00392542"/>
    <w:rsid w:val="00392E90"/>
    <w:rsid w:val="00395A93"/>
    <w:rsid w:val="003A1735"/>
    <w:rsid w:val="003A3551"/>
    <w:rsid w:val="003A436E"/>
    <w:rsid w:val="003A61D3"/>
    <w:rsid w:val="003B652B"/>
    <w:rsid w:val="003B7AF7"/>
    <w:rsid w:val="003B7CDC"/>
    <w:rsid w:val="003C4B68"/>
    <w:rsid w:val="003C7C26"/>
    <w:rsid w:val="003D04D0"/>
    <w:rsid w:val="003D43E7"/>
    <w:rsid w:val="003D4F37"/>
    <w:rsid w:val="003D72B5"/>
    <w:rsid w:val="003E2F0C"/>
    <w:rsid w:val="003E3E9E"/>
    <w:rsid w:val="003F1B6F"/>
    <w:rsid w:val="003F6FCB"/>
    <w:rsid w:val="00401833"/>
    <w:rsid w:val="004063CF"/>
    <w:rsid w:val="00412BC8"/>
    <w:rsid w:val="00422904"/>
    <w:rsid w:val="00423825"/>
    <w:rsid w:val="00426493"/>
    <w:rsid w:val="0042718B"/>
    <w:rsid w:val="00427260"/>
    <w:rsid w:val="004345A0"/>
    <w:rsid w:val="00442F9A"/>
    <w:rsid w:val="0044522B"/>
    <w:rsid w:val="004512E4"/>
    <w:rsid w:val="00451861"/>
    <w:rsid w:val="00451A65"/>
    <w:rsid w:val="004533AA"/>
    <w:rsid w:val="004561EB"/>
    <w:rsid w:val="004828EE"/>
    <w:rsid w:val="00484B8F"/>
    <w:rsid w:val="0049024E"/>
    <w:rsid w:val="00493194"/>
    <w:rsid w:val="004943C8"/>
    <w:rsid w:val="00494BA2"/>
    <w:rsid w:val="00496845"/>
    <w:rsid w:val="004A6B83"/>
    <w:rsid w:val="004A78D0"/>
    <w:rsid w:val="004B6819"/>
    <w:rsid w:val="004C4525"/>
    <w:rsid w:val="004D0191"/>
    <w:rsid w:val="004D5E93"/>
    <w:rsid w:val="004D6063"/>
    <w:rsid w:val="004D6A40"/>
    <w:rsid w:val="004E0B35"/>
    <w:rsid w:val="004E3655"/>
    <w:rsid w:val="004E41E6"/>
    <w:rsid w:val="004E5F5A"/>
    <w:rsid w:val="004E7555"/>
    <w:rsid w:val="004F5E26"/>
    <w:rsid w:val="004F77C0"/>
    <w:rsid w:val="00500412"/>
    <w:rsid w:val="00501B48"/>
    <w:rsid w:val="0050222E"/>
    <w:rsid w:val="00502E9F"/>
    <w:rsid w:val="00504394"/>
    <w:rsid w:val="0050793F"/>
    <w:rsid w:val="00512389"/>
    <w:rsid w:val="0051383B"/>
    <w:rsid w:val="005150DB"/>
    <w:rsid w:val="005168CA"/>
    <w:rsid w:val="0052150B"/>
    <w:rsid w:val="005236D1"/>
    <w:rsid w:val="005246E2"/>
    <w:rsid w:val="00530D9D"/>
    <w:rsid w:val="00532467"/>
    <w:rsid w:val="00540C56"/>
    <w:rsid w:val="00542100"/>
    <w:rsid w:val="0054308A"/>
    <w:rsid w:val="005465F1"/>
    <w:rsid w:val="005526C9"/>
    <w:rsid w:val="0055311E"/>
    <w:rsid w:val="0055508F"/>
    <w:rsid w:val="005564BB"/>
    <w:rsid w:val="00557A99"/>
    <w:rsid w:val="00564BC6"/>
    <w:rsid w:val="00566232"/>
    <w:rsid w:val="00573194"/>
    <w:rsid w:val="005746CE"/>
    <w:rsid w:val="00577902"/>
    <w:rsid w:val="00581556"/>
    <w:rsid w:val="00581CEF"/>
    <w:rsid w:val="005833F7"/>
    <w:rsid w:val="005864C4"/>
    <w:rsid w:val="0058659A"/>
    <w:rsid w:val="00590742"/>
    <w:rsid w:val="00590A17"/>
    <w:rsid w:val="005A2068"/>
    <w:rsid w:val="005A254F"/>
    <w:rsid w:val="005A685F"/>
    <w:rsid w:val="005A7578"/>
    <w:rsid w:val="005A7E32"/>
    <w:rsid w:val="005B1591"/>
    <w:rsid w:val="005B6CF6"/>
    <w:rsid w:val="005C163B"/>
    <w:rsid w:val="005C21CD"/>
    <w:rsid w:val="005C4696"/>
    <w:rsid w:val="005C5CA6"/>
    <w:rsid w:val="005C7B44"/>
    <w:rsid w:val="005D1534"/>
    <w:rsid w:val="005D51D1"/>
    <w:rsid w:val="005D5775"/>
    <w:rsid w:val="005E0A42"/>
    <w:rsid w:val="005E2DD6"/>
    <w:rsid w:val="005E431C"/>
    <w:rsid w:val="005E6C71"/>
    <w:rsid w:val="005F58E0"/>
    <w:rsid w:val="00601280"/>
    <w:rsid w:val="006026E6"/>
    <w:rsid w:val="00603BF2"/>
    <w:rsid w:val="00606E9B"/>
    <w:rsid w:val="006075FE"/>
    <w:rsid w:val="006135D7"/>
    <w:rsid w:val="006213E7"/>
    <w:rsid w:val="00621A45"/>
    <w:rsid w:val="00630ABF"/>
    <w:rsid w:val="00631780"/>
    <w:rsid w:val="00634CFB"/>
    <w:rsid w:val="00637A24"/>
    <w:rsid w:val="00640705"/>
    <w:rsid w:val="00647F0A"/>
    <w:rsid w:val="00653333"/>
    <w:rsid w:val="006627C8"/>
    <w:rsid w:val="00666757"/>
    <w:rsid w:val="00667693"/>
    <w:rsid w:val="00687C5A"/>
    <w:rsid w:val="006A2B60"/>
    <w:rsid w:val="006A48AD"/>
    <w:rsid w:val="006B6E9C"/>
    <w:rsid w:val="006C2823"/>
    <w:rsid w:val="006C5BD1"/>
    <w:rsid w:val="006C6D67"/>
    <w:rsid w:val="006D1958"/>
    <w:rsid w:val="006D3560"/>
    <w:rsid w:val="006D484E"/>
    <w:rsid w:val="006D5AD5"/>
    <w:rsid w:val="006E04FC"/>
    <w:rsid w:val="006E158A"/>
    <w:rsid w:val="006E4A1A"/>
    <w:rsid w:val="006E5674"/>
    <w:rsid w:val="006E5FFE"/>
    <w:rsid w:val="006F0CC9"/>
    <w:rsid w:val="006F123D"/>
    <w:rsid w:val="006F2281"/>
    <w:rsid w:val="006F3549"/>
    <w:rsid w:val="006F3722"/>
    <w:rsid w:val="006F5A34"/>
    <w:rsid w:val="006F65FC"/>
    <w:rsid w:val="007068C4"/>
    <w:rsid w:val="00715B87"/>
    <w:rsid w:val="00721163"/>
    <w:rsid w:val="00723F37"/>
    <w:rsid w:val="00727E2E"/>
    <w:rsid w:val="00727F02"/>
    <w:rsid w:val="00735288"/>
    <w:rsid w:val="00735480"/>
    <w:rsid w:val="00740CC4"/>
    <w:rsid w:val="00745AB0"/>
    <w:rsid w:val="00752349"/>
    <w:rsid w:val="00756F34"/>
    <w:rsid w:val="00757446"/>
    <w:rsid w:val="0075765B"/>
    <w:rsid w:val="00760FC0"/>
    <w:rsid w:val="00762CC3"/>
    <w:rsid w:val="00764F6B"/>
    <w:rsid w:val="00765028"/>
    <w:rsid w:val="00765F24"/>
    <w:rsid w:val="007727C2"/>
    <w:rsid w:val="00773CDF"/>
    <w:rsid w:val="00774C7B"/>
    <w:rsid w:val="00774DC4"/>
    <w:rsid w:val="00774F47"/>
    <w:rsid w:val="00783E06"/>
    <w:rsid w:val="00784162"/>
    <w:rsid w:val="00792FD7"/>
    <w:rsid w:val="00793FD1"/>
    <w:rsid w:val="007956D0"/>
    <w:rsid w:val="00797679"/>
    <w:rsid w:val="007A1248"/>
    <w:rsid w:val="007A639F"/>
    <w:rsid w:val="007A7598"/>
    <w:rsid w:val="007B2EAD"/>
    <w:rsid w:val="007B450D"/>
    <w:rsid w:val="007B6C56"/>
    <w:rsid w:val="007B6E05"/>
    <w:rsid w:val="007C2D4A"/>
    <w:rsid w:val="007C3A85"/>
    <w:rsid w:val="007C3C6C"/>
    <w:rsid w:val="007D3031"/>
    <w:rsid w:val="007D4413"/>
    <w:rsid w:val="007E21CA"/>
    <w:rsid w:val="007E2807"/>
    <w:rsid w:val="007E5B9A"/>
    <w:rsid w:val="007F2C89"/>
    <w:rsid w:val="00800D50"/>
    <w:rsid w:val="00807639"/>
    <w:rsid w:val="0081011A"/>
    <w:rsid w:val="00810D64"/>
    <w:rsid w:val="00812BC7"/>
    <w:rsid w:val="00816016"/>
    <w:rsid w:val="00816584"/>
    <w:rsid w:val="00817C1D"/>
    <w:rsid w:val="00820024"/>
    <w:rsid w:val="0082618C"/>
    <w:rsid w:val="0083133D"/>
    <w:rsid w:val="00832F5B"/>
    <w:rsid w:val="0083583C"/>
    <w:rsid w:val="00836308"/>
    <w:rsid w:val="00840A8D"/>
    <w:rsid w:val="00852A30"/>
    <w:rsid w:val="00854226"/>
    <w:rsid w:val="0086245F"/>
    <w:rsid w:val="00870309"/>
    <w:rsid w:val="00871227"/>
    <w:rsid w:val="008726C2"/>
    <w:rsid w:val="008730A1"/>
    <w:rsid w:val="00873E88"/>
    <w:rsid w:val="00875012"/>
    <w:rsid w:val="00880519"/>
    <w:rsid w:val="0088064D"/>
    <w:rsid w:val="00880942"/>
    <w:rsid w:val="00883EFA"/>
    <w:rsid w:val="00887597"/>
    <w:rsid w:val="00890353"/>
    <w:rsid w:val="008A224B"/>
    <w:rsid w:val="008A4485"/>
    <w:rsid w:val="008B258B"/>
    <w:rsid w:val="008B267D"/>
    <w:rsid w:val="008B3036"/>
    <w:rsid w:val="008B45EE"/>
    <w:rsid w:val="008B5521"/>
    <w:rsid w:val="008B77C0"/>
    <w:rsid w:val="008C1C12"/>
    <w:rsid w:val="008C4DA0"/>
    <w:rsid w:val="008C54F2"/>
    <w:rsid w:val="008C5BC0"/>
    <w:rsid w:val="008D0355"/>
    <w:rsid w:val="008D4C3E"/>
    <w:rsid w:val="008E17A6"/>
    <w:rsid w:val="008E28F9"/>
    <w:rsid w:val="008E380A"/>
    <w:rsid w:val="008E6713"/>
    <w:rsid w:val="008E6C24"/>
    <w:rsid w:val="008F00D5"/>
    <w:rsid w:val="008F388B"/>
    <w:rsid w:val="008F47D6"/>
    <w:rsid w:val="008F53AD"/>
    <w:rsid w:val="008F55C0"/>
    <w:rsid w:val="008F5E7B"/>
    <w:rsid w:val="009017B5"/>
    <w:rsid w:val="00904A8D"/>
    <w:rsid w:val="00905930"/>
    <w:rsid w:val="00907D1B"/>
    <w:rsid w:val="00912376"/>
    <w:rsid w:val="0091586D"/>
    <w:rsid w:val="00921734"/>
    <w:rsid w:val="00921E94"/>
    <w:rsid w:val="0092599C"/>
    <w:rsid w:val="0092796B"/>
    <w:rsid w:val="009332CF"/>
    <w:rsid w:val="009333AE"/>
    <w:rsid w:val="00940DB4"/>
    <w:rsid w:val="00942F5A"/>
    <w:rsid w:val="00943783"/>
    <w:rsid w:val="0094568F"/>
    <w:rsid w:val="00953C56"/>
    <w:rsid w:val="00961E4D"/>
    <w:rsid w:val="00966700"/>
    <w:rsid w:val="009668B7"/>
    <w:rsid w:val="009719E6"/>
    <w:rsid w:val="00972E47"/>
    <w:rsid w:val="0097657C"/>
    <w:rsid w:val="00977822"/>
    <w:rsid w:val="00977D5D"/>
    <w:rsid w:val="009826C6"/>
    <w:rsid w:val="009860A9"/>
    <w:rsid w:val="00994E3F"/>
    <w:rsid w:val="009A15D3"/>
    <w:rsid w:val="009A22E2"/>
    <w:rsid w:val="009A6DD8"/>
    <w:rsid w:val="009B1D78"/>
    <w:rsid w:val="009B2375"/>
    <w:rsid w:val="009B6F91"/>
    <w:rsid w:val="009C1D30"/>
    <w:rsid w:val="009C22AB"/>
    <w:rsid w:val="009C4878"/>
    <w:rsid w:val="009C4BE5"/>
    <w:rsid w:val="009D11A2"/>
    <w:rsid w:val="009D1278"/>
    <w:rsid w:val="009D1AF6"/>
    <w:rsid w:val="009D51BD"/>
    <w:rsid w:val="009E0C2D"/>
    <w:rsid w:val="009E402F"/>
    <w:rsid w:val="009F7943"/>
    <w:rsid w:val="00A00B0B"/>
    <w:rsid w:val="00A00C75"/>
    <w:rsid w:val="00A04C28"/>
    <w:rsid w:val="00A04FE7"/>
    <w:rsid w:val="00A12111"/>
    <w:rsid w:val="00A1216B"/>
    <w:rsid w:val="00A17F0B"/>
    <w:rsid w:val="00A26CA2"/>
    <w:rsid w:val="00A31DDF"/>
    <w:rsid w:val="00A35298"/>
    <w:rsid w:val="00A355BF"/>
    <w:rsid w:val="00A51850"/>
    <w:rsid w:val="00A5188D"/>
    <w:rsid w:val="00A53E20"/>
    <w:rsid w:val="00A54F54"/>
    <w:rsid w:val="00A617A6"/>
    <w:rsid w:val="00A72CE0"/>
    <w:rsid w:val="00A73FC7"/>
    <w:rsid w:val="00A753F0"/>
    <w:rsid w:val="00A8212F"/>
    <w:rsid w:val="00A856CD"/>
    <w:rsid w:val="00A95033"/>
    <w:rsid w:val="00A962B7"/>
    <w:rsid w:val="00AA08E7"/>
    <w:rsid w:val="00AA673F"/>
    <w:rsid w:val="00AB111C"/>
    <w:rsid w:val="00AB2DEE"/>
    <w:rsid w:val="00AB7C6E"/>
    <w:rsid w:val="00AD5F3D"/>
    <w:rsid w:val="00AD71EC"/>
    <w:rsid w:val="00AE1249"/>
    <w:rsid w:val="00AE2071"/>
    <w:rsid w:val="00AE6F5F"/>
    <w:rsid w:val="00AE7443"/>
    <w:rsid w:val="00AF0C21"/>
    <w:rsid w:val="00AF5113"/>
    <w:rsid w:val="00AF52BD"/>
    <w:rsid w:val="00AF640C"/>
    <w:rsid w:val="00AF6F6B"/>
    <w:rsid w:val="00B01355"/>
    <w:rsid w:val="00B05344"/>
    <w:rsid w:val="00B0698D"/>
    <w:rsid w:val="00B06E73"/>
    <w:rsid w:val="00B10B41"/>
    <w:rsid w:val="00B10DA5"/>
    <w:rsid w:val="00B11A20"/>
    <w:rsid w:val="00B2145A"/>
    <w:rsid w:val="00B24C1A"/>
    <w:rsid w:val="00B27801"/>
    <w:rsid w:val="00B34786"/>
    <w:rsid w:val="00B37818"/>
    <w:rsid w:val="00B55D03"/>
    <w:rsid w:val="00B5601B"/>
    <w:rsid w:val="00B61A4D"/>
    <w:rsid w:val="00B63A2F"/>
    <w:rsid w:val="00B74078"/>
    <w:rsid w:val="00B81186"/>
    <w:rsid w:val="00B869AA"/>
    <w:rsid w:val="00B86D46"/>
    <w:rsid w:val="00B97059"/>
    <w:rsid w:val="00BB032F"/>
    <w:rsid w:val="00BB418F"/>
    <w:rsid w:val="00BB6BBF"/>
    <w:rsid w:val="00BB7F38"/>
    <w:rsid w:val="00BC00B8"/>
    <w:rsid w:val="00BC0FCD"/>
    <w:rsid w:val="00BC1A98"/>
    <w:rsid w:val="00BC4E70"/>
    <w:rsid w:val="00BC523A"/>
    <w:rsid w:val="00BC7515"/>
    <w:rsid w:val="00BD00A0"/>
    <w:rsid w:val="00BD1B6D"/>
    <w:rsid w:val="00BD57FC"/>
    <w:rsid w:val="00BE16C8"/>
    <w:rsid w:val="00BE64D3"/>
    <w:rsid w:val="00BE7F84"/>
    <w:rsid w:val="00C048CA"/>
    <w:rsid w:val="00C0500F"/>
    <w:rsid w:val="00C10AC4"/>
    <w:rsid w:val="00C170D5"/>
    <w:rsid w:val="00C225D3"/>
    <w:rsid w:val="00C25B5F"/>
    <w:rsid w:val="00C26B09"/>
    <w:rsid w:val="00C26BFB"/>
    <w:rsid w:val="00C27D9A"/>
    <w:rsid w:val="00C32F21"/>
    <w:rsid w:val="00C35D4E"/>
    <w:rsid w:val="00C40835"/>
    <w:rsid w:val="00C421EC"/>
    <w:rsid w:val="00C441F9"/>
    <w:rsid w:val="00C4796D"/>
    <w:rsid w:val="00C51B24"/>
    <w:rsid w:val="00C55822"/>
    <w:rsid w:val="00C5588A"/>
    <w:rsid w:val="00C5713F"/>
    <w:rsid w:val="00C62F0E"/>
    <w:rsid w:val="00C64843"/>
    <w:rsid w:val="00C65D8E"/>
    <w:rsid w:val="00C663F3"/>
    <w:rsid w:val="00C66672"/>
    <w:rsid w:val="00C70549"/>
    <w:rsid w:val="00C71520"/>
    <w:rsid w:val="00C7486E"/>
    <w:rsid w:val="00C76CAF"/>
    <w:rsid w:val="00C868E9"/>
    <w:rsid w:val="00C86F62"/>
    <w:rsid w:val="00C93D98"/>
    <w:rsid w:val="00C966F5"/>
    <w:rsid w:val="00C96764"/>
    <w:rsid w:val="00C96DB1"/>
    <w:rsid w:val="00C97D70"/>
    <w:rsid w:val="00CA0134"/>
    <w:rsid w:val="00CA1C3A"/>
    <w:rsid w:val="00CA2879"/>
    <w:rsid w:val="00CB1EB9"/>
    <w:rsid w:val="00CB28D0"/>
    <w:rsid w:val="00CB2C84"/>
    <w:rsid w:val="00CB2E34"/>
    <w:rsid w:val="00CB41DD"/>
    <w:rsid w:val="00CB6891"/>
    <w:rsid w:val="00CB6AC2"/>
    <w:rsid w:val="00CC0D71"/>
    <w:rsid w:val="00CC169D"/>
    <w:rsid w:val="00CC2541"/>
    <w:rsid w:val="00CC34FF"/>
    <w:rsid w:val="00CC668B"/>
    <w:rsid w:val="00CC7502"/>
    <w:rsid w:val="00CC7BAE"/>
    <w:rsid w:val="00CD0003"/>
    <w:rsid w:val="00CD01A0"/>
    <w:rsid w:val="00CD32CF"/>
    <w:rsid w:val="00CD42B4"/>
    <w:rsid w:val="00CD50F5"/>
    <w:rsid w:val="00CD7971"/>
    <w:rsid w:val="00CE0661"/>
    <w:rsid w:val="00CE5A63"/>
    <w:rsid w:val="00CE6B06"/>
    <w:rsid w:val="00CF2CAA"/>
    <w:rsid w:val="00D10144"/>
    <w:rsid w:val="00D10B25"/>
    <w:rsid w:val="00D11AD8"/>
    <w:rsid w:val="00D13B28"/>
    <w:rsid w:val="00D22242"/>
    <w:rsid w:val="00D24C5F"/>
    <w:rsid w:val="00D24F7E"/>
    <w:rsid w:val="00D2578D"/>
    <w:rsid w:val="00D27115"/>
    <w:rsid w:val="00D318E9"/>
    <w:rsid w:val="00D347D1"/>
    <w:rsid w:val="00D35138"/>
    <w:rsid w:val="00D353D0"/>
    <w:rsid w:val="00D35941"/>
    <w:rsid w:val="00D40463"/>
    <w:rsid w:val="00D5563D"/>
    <w:rsid w:val="00D56FDB"/>
    <w:rsid w:val="00D6473B"/>
    <w:rsid w:val="00D65170"/>
    <w:rsid w:val="00D66F6C"/>
    <w:rsid w:val="00D7352C"/>
    <w:rsid w:val="00D73F23"/>
    <w:rsid w:val="00D76466"/>
    <w:rsid w:val="00D77EDC"/>
    <w:rsid w:val="00D83A45"/>
    <w:rsid w:val="00D845D7"/>
    <w:rsid w:val="00D91C3C"/>
    <w:rsid w:val="00D96DC7"/>
    <w:rsid w:val="00DA4F65"/>
    <w:rsid w:val="00DA63DF"/>
    <w:rsid w:val="00DB1D46"/>
    <w:rsid w:val="00DB4B95"/>
    <w:rsid w:val="00DC1328"/>
    <w:rsid w:val="00DC1853"/>
    <w:rsid w:val="00DC2087"/>
    <w:rsid w:val="00DC4691"/>
    <w:rsid w:val="00DC4ADC"/>
    <w:rsid w:val="00DC746B"/>
    <w:rsid w:val="00DC7927"/>
    <w:rsid w:val="00DD08C7"/>
    <w:rsid w:val="00DD0DBF"/>
    <w:rsid w:val="00DD4383"/>
    <w:rsid w:val="00DD6357"/>
    <w:rsid w:val="00DE151D"/>
    <w:rsid w:val="00DE38C7"/>
    <w:rsid w:val="00DF3019"/>
    <w:rsid w:val="00DF5657"/>
    <w:rsid w:val="00E04551"/>
    <w:rsid w:val="00E04628"/>
    <w:rsid w:val="00E04BC5"/>
    <w:rsid w:val="00E0643A"/>
    <w:rsid w:val="00E118AF"/>
    <w:rsid w:val="00E13083"/>
    <w:rsid w:val="00E13783"/>
    <w:rsid w:val="00E16397"/>
    <w:rsid w:val="00E2078F"/>
    <w:rsid w:val="00E25AB5"/>
    <w:rsid w:val="00E27FE7"/>
    <w:rsid w:val="00E30165"/>
    <w:rsid w:val="00E3106C"/>
    <w:rsid w:val="00E31327"/>
    <w:rsid w:val="00E45A03"/>
    <w:rsid w:val="00E4759E"/>
    <w:rsid w:val="00E479C6"/>
    <w:rsid w:val="00E53B2B"/>
    <w:rsid w:val="00E55F58"/>
    <w:rsid w:val="00E56E3D"/>
    <w:rsid w:val="00E63C2C"/>
    <w:rsid w:val="00E64EC2"/>
    <w:rsid w:val="00E6546F"/>
    <w:rsid w:val="00E66121"/>
    <w:rsid w:val="00E71B0C"/>
    <w:rsid w:val="00E751E3"/>
    <w:rsid w:val="00E75A6F"/>
    <w:rsid w:val="00E80E8C"/>
    <w:rsid w:val="00E8705E"/>
    <w:rsid w:val="00E92F62"/>
    <w:rsid w:val="00E94037"/>
    <w:rsid w:val="00E94375"/>
    <w:rsid w:val="00EB20C7"/>
    <w:rsid w:val="00EB21E6"/>
    <w:rsid w:val="00EB333A"/>
    <w:rsid w:val="00EB3C70"/>
    <w:rsid w:val="00EB639B"/>
    <w:rsid w:val="00ED24E0"/>
    <w:rsid w:val="00ED24E5"/>
    <w:rsid w:val="00ED616C"/>
    <w:rsid w:val="00ED6A8F"/>
    <w:rsid w:val="00EE0AB5"/>
    <w:rsid w:val="00EE7DFB"/>
    <w:rsid w:val="00F062C6"/>
    <w:rsid w:val="00F06E78"/>
    <w:rsid w:val="00F0705F"/>
    <w:rsid w:val="00F128F4"/>
    <w:rsid w:val="00F12D39"/>
    <w:rsid w:val="00F14545"/>
    <w:rsid w:val="00F165B6"/>
    <w:rsid w:val="00F16650"/>
    <w:rsid w:val="00F20457"/>
    <w:rsid w:val="00F25D59"/>
    <w:rsid w:val="00F3271D"/>
    <w:rsid w:val="00F355EC"/>
    <w:rsid w:val="00F36163"/>
    <w:rsid w:val="00F413E7"/>
    <w:rsid w:val="00F43A26"/>
    <w:rsid w:val="00F47194"/>
    <w:rsid w:val="00F4720D"/>
    <w:rsid w:val="00F47FE1"/>
    <w:rsid w:val="00F51B5E"/>
    <w:rsid w:val="00F53700"/>
    <w:rsid w:val="00F609A0"/>
    <w:rsid w:val="00F6492A"/>
    <w:rsid w:val="00F65EDC"/>
    <w:rsid w:val="00F66379"/>
    <w:rsid w:val="00F810C0"/>
    <w:rsid w:val="00F8260C"/>
    <w:rsid w:val="00F87CE4"/>
    <w:rsid w:val="00F90866"/>
    <w:rsid w:val="00F919DA"/>
    <w:rsid w:val="00F92B5B"/>
    <w:rsid w:val="00F9645D"/>
    <w:rsid w:val="00FA10ED"/>
    <w:rsid w:val="00FA25EB"/>
    <w:rsid w:val="00FA33D0"/>
    <w:rsid w:val="00FA344B"/>
    <w:rsid w:val="00FA41D1"/>
    <w:rsid w:val="00FA50C7"/>
    <w:rsid w:val="00FA5D56"/>
    <w:rsid w:val="00FB33BF"/>
    <w:rsid w:val="00FB60C8"/>
    <w:rsid w:val="00FC14AB"/>
    <w:rsid w:val="00FC251C"/>
    <w:rsid w:val="00FC4121"/>
    <w:rsid w:val="00FC4533"/>
    <w:rsid w:val="00FD4020"/>
    <w:rsid w:val="00FD778E"/>
    <w:rsid w:val="00FE1D9B"/>
    <w:rsid w:val="00FE31EE"/>
    <w:rsid w:val="00FE69EE"/>
    <w:rsid w:val="00FF3D30"/>
    <w:rsid w:val="00FF3FEF"/>
    <w:rsid w:val="00FF4851"/>
    <w:rsid w:val="00FF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49B6E"/>
  <w15:docId w15:val="{648A5986-1A21-41A0-8C8F-80BAAE20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paragraph" w:styleId="Header">
    <w:name w:val="header"/>
    <w:basedOn w:val="Normal"/>
    <w:link w:val="HeaderChar"/>
    <w:uiPriority w:val="99"/>
    <w:unhideWhenUsed/>
    <w:rsid w:val="00BB6BBF"/>
    <w:pPr>
      <w:tabs>
        <w:tab w:val="center" w:pos="4680"/>
        <w:tab w:val="right" w:pos="9360"/>
      </w:tabs>
      <w:spacing w:after="0"/>
    </w:pPr>
  </w:style>
  <w:style w:type="character" w:customStyle="1" w:styleId="HeaderChar">
    <w:name w:val="Header Char"/>
    <w:basedOn w:val="DefaultParagraphFont"/>
    <w:link w:val="Header"/>
    <w:uiPriority w:val="99"/>
    <w:rsid w:val="00BB6BBF"/>
  </w:style>
  <w:style w:type="paragraph" w:styleId="Footer">
    <w:name w:val="footer"/>
    <w:basedOn w:val="Normal"/>
    <w:link w:val="FooterChar"/>
    <w:uiPriority w:val="99"/>
    <w:unhideWhenUsed/>
    <w:rsid w:val="00BB6BBF"/>
    <w:pPr>
      <w:tabs>
        <w:tab w:val="center" w:pos="4680"/>
        <w:tab w:val="right" w:pos="9360"/>
      </w:tabs>
      <w:spacing w:after="0"/>
    </w:pPr>
  </w:style>
  <w:style w:type="character" w:customStyle="1" w:styleId="FooterChar">
    <w:name w:val="Footer Char"/>
    <w:basedOn w:val="DefaultParagraphFont"/>
    <w:link w:val="Footer"/>
    <w:uiPriority w:val="99"/>
    <w:rsid w:val="00BB6BBF"/>
  </w:style>
  <w:style w:type="paragraph" w:styleId="ListParagraph">
    <w:name w:val="List Paragraph"/>
    <w:basedOn w:val="Normal"/>
    <w:uiPriority w:val="34"/>
    <w:qFormat/>
    <w:rsid w:val="0081011A"/>
    <w:pPr>
      <w:ind w:left="720"/>
      <w:contextualSpacing/>
    </w:pPr>
  </w:style>
  <w:style w:type="paragraph" w:styleId="Revision">
    <w:name w:val="Revision"/>
    <w:hidden/>
    <w:uiPriority w:val="99"/>
    <w:semiHidden/>
    <w:rsid w:val="00C93D98"/>
    <w:pPr>
      <w:spacing w:after="0"/>
      <w:jc w:val="left"/>
    </w:pPr>
  </w:style>
  <w:style w:type="paragraph" w:styleId="BalloonText">
    <w:name w:val="Balloon Text"/>
    <w:basedOn w:val="Normal"/>
    <w:link w:val="BalloonTextChar"/>
    <w:uiPriority w:val="99"/>
    <w:semiHidden/>
    <w:unhideWhenUsed/>
    <w:rsid w:val="002B44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45E"/>
    <w:rPr>
      <w:rFonts w:ascii="Segoe UI" w:hAnsi="Segoe UI" w:cs="Segoe UI"/>
      <w:sz w:val="18"/>
      <w:szCs w:val="18"/>
    </w:rPr>
  </w:style>
  <w:style w:type="character" w:styleId="CommentReference">
    <w:name w:val="annotation reference"/>
    <w:basedOn w:val="DefaultParagraphFont"/>
    <w:uiPriority w:val="99"/>
    <w:semiHidden/>
    <w:unhideWhenUsed/>
    <w:rsid w:val="00E4759E"/>
    <w:rPr>
      <w:sz w:val="16"/>
      <w:szCs w:val="16"/>
    </w:rPr>
  </w:style>
  <w:style w:type="paragraph" w:styleId="CommentText">
    <w:name w:val="annotation text"/>
    <w:basedOn w:val="Normal"/>
    <w:link w:val="CommentTextChar"/>
    <w:uiPriority w:val="99"/>
    <w:unhideWhenUsed/>
    <w:rsid w:val="00E4759E"/>
    <w:rPr>
      <w:sz w:val="20"/>
      <w:szCs w:val="20"/>
    </w:rPr>
  </w:style>
  <w:style w:type="character" w:customStyle="1" w:styleId="CommentTextChar">
    <w:name w:val="Comment Text Char"/>
    <w:basedOn w:val="DefaultParagraphFont"/>
    <w:link w:val="CommentText"/>
    <w:uiPriority w:val="99"/>
    <w:rsid w:val="00E4759E"/>
    <w:rPr>
      <w:sz w:val="20"/>
      <w:szCs w:val="20"/>
    </w:rPr>
  </w:style>
  <w:style w:type="paragraph" w:styleId="CommentSubject">
    <w:name w:val="annotation subject"/>
    <w:basedOn w:val="CommentText"/>
    <w:next w:val="CommentText"/>
    <w:link w:val="CommentSubjectChar"/>
    <w:uiPriority w:val="99"/>
    <w:semiHidden/>
    <w:unhideWhenUsed/>
    <w:rsid w:val="00E4759E"/>
    <w:rPr>
      <w:b/>
      <w:bCs/>
    </w:rPr>
  </w:style>
  <w:style w:type="character" w:customStyle="1" w:styleId="CommentSubjectChar">
    <w:name w:val="Comment Subject Char"/>
    <w:basedOn w:val="CommentTextChar"/>
    <w:link w:val="CommentSubject"/>
    <w:uiPriority w:val="99"/>
    <w:semiHidden/>
    <w:rsid w:val="00E4759E"/>
    <w:rPr>
      <w:b/>
      <w:bCs/>
      <w:sz w:val="20"/>
      <w:szCs w:val="20"/>
    </w:rPr>
  </w:style>
  <w:style w:type="table" w:customStyle="1" w:styleId="TableGrid1">
    <w:name w:val="Table Grid1"/>
    <w:basedOn w:val="TableNormal"/>
    <w:next w:val="TableGrid"/>
    <w:uiPriority w:val="59"/>
    <w:rsid w:val="009E0C2D"/>
    <w:pPr>
      <w:spacing w:after="0"/>
      <w:jc w:val="left"/>
    </w:pPr>
    <w:rPr>
      <w:rFonts w:ascii="Times New Roman" w:eastAsia="Aptos" w:hAnsi="Times New Roman" w:cs="Times New Roman"/>
      <w:sz w:val="26"/>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E0C2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24C5F"/>
    <w:pPr>
      <w:widowControl w:val="0"/>
      <w:autoSpaceDE w:val="0"/>
      <w:autoSpaceDN w:val="0"/>
      <w:spacing w:after="0"/>
      <w:jc w:val="left"/>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1"/>
    <w:rsid w:val="00D24C5F"/>
    <w:rPr>
      <w:rFonts w:ascii="Times New Roman" w:eastAsia="Times New Roman" w:hAnsi="Times New Roman" w:cs="Times New Roman"/>
      <w:sz w:val="26"/>
      <w:szCs w:val="26"/>
      <w:lang w:val="en-US"/>
    </w:rPr>
  </w:style>
  <w:style w:type="paragraph" w:styleId="NormalWeb">
    <w:name w:val="Normal (Web)"/>
    <w:basedOn w:val="Normal"/>
    <w:uiPriority w:val="99"/>
    <w:unhideWhenUsed/>
    <w:rsid w:val="001E752F"/>
    <w:pPr>
      <w:spacing w:before="100" w:beforeAutospacing="1" w:after="100" w:afterAutospacing="1"/>
      <w:jc w:val="left"/>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E752F"/>
    <w:rPr>
      <w:b/>
      <w:bCs/>
    </w:rPr>
  </w:style>
  <w:style w:type="character" w:styleId="Emphasis">
    <w:name w:val="Emphasis"/>
    <w:basedOn w:val="DefaultParagraphFont"/>
    <w:uiPriority w:val="20"/>
    <w:qFormat/>
    <w:rsid w:val="004E5F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77be347-478f-4335-b979-8f08cf50b9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97EE5BC5AB894AAE69949142BEEC0C" ma:contentTypeVersion="9" ma:contentTypeDescription="Create a new document." ma:contentTypeScope="" ma:versionID="307f39c8a6b8a240cd4fa0de28c17049">
  <xsd:schema xmlns:xsd="http://www.w3.org/2001/XMLSchema" xmlns:xs="http://www.w3.org/2001/XMLSchema" xmlns:p="http://schemas.microsoft.com/office/2006/metadata/properties" xmlns:ns3="577be347-478f-4335-b979-8f08cf50b946" xmlns:ns4="e7100915-c282-4262-b37a-a3be241421fd" targetNamespace="http://schemas.microsoft.com/office/2006/metadata/properties" ma:root="true" ma:fieldsID="484594ea671bd517ce1a6e10a21f1c11" ns3:_="" ns4:_="">
    <xsd:import namespace="577be347-478f-4335-b979-8f08cf50b946"/>
    <xsd:import namespace="e7100915-c282-4262-b37a-a3be241421f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be347-478f-4335-b979-8f08cf50b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100915-c282-4262-b37a-a3be241421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E8B7E-2A10-4E73-AAC0-DCD311B3ED9A}">
  <ds:schemaRefs>
    <ds:schemaRef ds:uri="http://schemas.microsoft.com/sharepoint/v3/contenttype/forms"/>
  </ds:schemaRefs>
</ds:datastoreItem>
</file>

<file path=customXml/itemProps2.xml><?xml version="1.0" encoding="utf-8"?>
<ds:datastoreItem xmlns:ds="http://schemas.openxmlformats.org/officeDocument/2006/customXml" ds:itemID="{30EF3A19-9AA0-4D59-9402-B59673301AB1}">
  <ds:schemaRefs>
    <ds:schemaRef ds:uri="http://schemas.microsoft.com/office/2006/metadata/properties"/>
    <ds:schemaRef ds:uri="http://schemas.microsoft.com/office/infopath/2007/PartnerControls"/>
    <ds:schemaRef ds:uri="577be347-478f-4335-b979-8f08cf50b946"/>
  </ds:schemaRefs>
</ds:datastoreItem>
</file>

<file path=customXml/itemProps3.xml><?xml version="1.0" encoding="utf-8"?>
<ds:datastoreItem xmlns:ds="http://schemas.openxmlformats.org/officeDocument/2006/customXml" ds:itemID="{D8394B3B-16DA-4E04-B6BC-FF91FF3AC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be347-478f-4335-b979-8f08cf50b946"/>
    <ds:schemaRef ds:uri="e7100915-c282-4262-b37a-a3be24142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4806</Words>
  <Characters>28309</Characters>
  <Application>Microsoft Office Word</Application>
  <DocSecurity>0</DocSecurity>
  <Lines>471</Lines>
  <Paragraphs>168</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32947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 Martin</dc:creator>
  <cp:keywords/>
  <dc:description/>
  <cp:lastModifiedBy>Christopher E Dorsey -LABOR-</cp:lastModifiedBy>
  <cp:revision>3</cp:revision>
  <cp:lastPrinted>2026-01-09T14:26:00Z</cp:lastPrinted>
  <dcterms:created xsi:type="dcterms:W3CDTF">2026-03-02T17:34:00Z</dcterms:created>
  <dcterms:modified xsi:type="dcterms:W3CDTF">2026-04-03T16:41:00Z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2e7ee61f4f600eec63f02b685bd0a72aede638b53d8e3d1d5e4eb94866ef993e</vt:lpwstr>
  </property>
  <property fmtid="{D5CDD505-2E9C-101B-9397-08002B2CF9AE}" pid="3" name="ContentTypeId">
    <vt:lpwstr>0x0101006A97EE5BC5AB894AAE69949142BEEC0C</vt:lpwstr>
  </property>
  <property fmtid="{D5CDD505-2E9C-101B-9397-08002B2CF9AE}" pid="4" name="_activity">
    <vt:lpwstr/>
  </property>
</Properties>
</file>