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678"/>
        <w:gridCol w:w="2813"/>
        <w:gridCol w:w="2933"/>
        <w:gridCol w:w="2403"/>
      </w:tblGrid>
      <w:tr w:rsidR="00904AAF" w:rsidTr="00D54897">
        <w:tc>
          <w:tcPr>
            <w:tcW w:w="2123" w:type="dxa"/>
            <w:tcBorders>
              <w:bottom w:val="single" w:sz="12" w:space="0" w:color="auto"/>
            </w:tcBorders>
          </w:tcPr>
          <w:p w:rsidR="00904AAF" w:rsidRPr="00D54897" w:rsidRDefault="00904AAF">
            <w:pPr>
              <w:rPr>
                <w:b/>
              </w:rPr>
            </w:pPr>
            <w:bookmarkStart w:id="0" w:name="_GoBack"/>
            <w:bookmarkEnd w:id="0"/>
            <w:r w:rsidRPr="00D54897">
              <w:rPr>
                <w:b/>
              </w:rPr>
              <w:t>Activity</w:t>
            </w:r>
          </w:p>
        </w:tc>
        <w:tc>
          <w:tcPr>
            <w:tcW w:w="2678" w:type="dxa"/>
            <w:tcBorders>
              <w:bottom w:val="single" w:sz="12" w:space="0" w:color="auto"/>
            </w:tcBorders>
          </w:tcPr>
          <w:p w:rsidR="00904AAF" w:rsidRPr="00D54897" w:rsidRDefault="00904AAF" w:rsidP="00904AAF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D54897">
              <w:rPr>
                <w:b/>
              </w:rPr>
              <w:t>Inadequate: Performance of expectations is consistently inadequate, failing to meet the minimum requirements. Aspiration to improve not consistently evident. </w:t>
            </w:r>
          </w:p>
        </w:tc>
        <w:tc>
          <w:tcPr>
            <w:tcW w:w="2813" w:type="dxa"/>
            <w:tcBorders>
              <w:bottom w:val="single" w:sz="12" w:space="0" w:color="auto"/>
            </w:tcBorders>
          </w:tcPr>
          <w:p w:rsidR="00904AAF" w:rsidRPr="00D54897" w:rsidRDefault="00904AAF" w:rsidP="00904AAF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D54897">
              <w:rPr>
                <w:b/>
              </w:rPr>
              <w:t>Progressing: Performance of some expectations requires further development of skills. Demonstrates a willingness to improve skills. </w:t>
            </w:r>
          </w:p>
        </w:tc>
        <w:tc>
          <w:tcPr>
            <w:tcW w:w="2933" w:type="dxa"/>
            <w:tcBorders>
              <w:bottom w:val="single" w:sz="12" w:space="0" w:color="auto"/>
            </w:tcBorders>
          </w:tcPr>
          <w:p w:rsidR="00904AAF" w:rsidRPr="00D54897" w:rsidRDefault="00904AAF" w:rsidP="00904AAF">
            <w:pPr>
              <w:pStyle w:val="ListParagraph"/>
              <w:numPr>
                <w:ilvl w:val="0"/>
                <w:numId w:val="1"/>
              </w:numPr>
              <w:ind w:left="351"/>
              <w:rPr>
                <w:b/>
              </w:rPr>
            </w:pPr>
            <w:r w:rsidRPr="00D54897">
              <w:rPr>
                <w:b/>
              </w:rPr>
              <w:t>Satisfactory: Performance consistently meets and may occasionally exceed expectations.</w:t>
            </w:r>
          </w:p>
        </w:tc>
        <w:tc>
          <w:tcPr>
            <w:tcW w:w="2403" w:type="dxa"/>
            <w:tcBorders>
              <w:bottom w:val="single" w:sz="12" w:space="0" w:color="auto"/>
            </w:tcBorders>
          </w:tcPr>
          <w:p w:rsidR="00904AAF" w:rsidRPr="00D54897" w:rsidRDefault="00904AAF" w:rsidP="00904AAF">
            <w:pPr>
              <w:pStyle w:val="ListParagraph"/>
              <w:numPr>
                <w:ilvl w:val="0"/>
                <w:numId w:val="1"/>
              </w:numPr>
              <w:ind w:left="351"/>
              <w:rPr>
                <w:b/>
              </w:rPr>
            </w:pPr>
            <w:r w:rsidRPr="00D54897">
              <w:rPr>
                <w:b/>
              </w:rPr>
              <w:t>Highly Effective: Performance frequently exceeds expectations. Indicates agency, state, or national-level leadership. </w:t>
            </w:r>
          </w:p>
        </w:tc>
      </w:tr>
      <w:tr w:rsidR="00904AAF" w:rsidTr="00D54897">
        <w:tc>
          <w:tcPr>
            <w:tcW w:w="2123" w:type="dxa"/>
            <w:tcBorders>
              <w:top w:val="single" w:sz="12" w:space="0" w:color="auto"/>
            </w:tcBorders>
          </w:tcPr>
          <w:p w:rsidR="00904AAF" w:rsidRPr="00D54897" w:rsidRDefault="00904AAF">
            <w:pPr>
              <w:rPr>
                <w:b/>
              </w:rPr>
            </w:pPr>
            <w:r w:rsidRPr="00D54897">
              <w:rPr>
                <w:b/>
              </w:rPr>
              <w:t>Information Session</w:t>
            </w:r>
          </w:p>
          <w:p w:rsidR="00904AAF" w:rsidRDefault="00904AAF">
            <w:r w:rsidRPr="00D54897">
              <w:rPr>
                <w:b/>
              </w:rPr>
              <w:t>Observation</w:t>
            </w:r>
            <w:r>
              <w:t xml:space="preserve"> </w:t>
            </w:r>
          </w:p>
        </w:tc>
        <w:tc>
          <w:tcPr>
            <w:tcW w:w="2678" w:type="dxa"/>
            <w:tcBorders>
              <w:top w:val="single" w:sz="12" w:space="0" w:color="auto"/>
            </w:tcBorders>
          </w:tcPr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Information session did not adequately describe the HS completion </w:t>
            </w:r>
            <w:r w:rsidR="0083497D" w:rsidRPr="00A14912">
              <w:rPr>
                <w:b/>
              </w:rPr>
              <w:t>options offered by the agency.</w:t>
            </w:r>
          </w:p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  <w:tc>
          <w:tcPr>
            <w:tcW w:w="2813" w:type="dxa"/>
            <w:tcBorders>
              <w:top w:val="single" w:sz="12" w:space="0" w:color="auto"/>
            </w:tcBorders>
          </w:tcPr>
          <w:p w:rsidR="00904AAF" w:rsidRDefault="00904AAF" w:rsidP="0083497D">
            <w:r>
              <w:t xml:space="preserve">Information session </w:t>
            </w:r>
            <w:r w:rsidR="0083497D">
              <w:t>describes</w:t>
            </w:r>
            <w:r>
              <w:t xml:space="preserve"> the HS completion options offered by the agency</w:t>
            </w:r>
            <w:r w:rsidR="0083497D">
              <w:t xml:space="preserve"> with inconsistent adequacy- may include inaccuracies or incomplete information.</w:t>
            </w: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904AAF" w:rsidRDefault="0083497D">
            <w:r>
              <w:t>Information session adequately describes the HS completion options offered by the agency with accurate and complete information.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904AAF" w:rsidRDefault="0083497D" w:rsidP="0083497D">
            <w:r>
              <w:t>Information session accurately and completely describes NEDP and the other HS completion option(s) offered by the agency with particular clarity.</w:t>
            </w:r>
          </w:p>
        </w:tc>
      </w:tr>
      <w:tr w:rsidR="00D54897" w:rsidTr="00D54897">
        <w:tc>
          <w:tcPr>
            <w:tcW w:w="2123" w:type="dxa"/>
            <w:tcBorders>
              <w:bottom w:val="single" w:sz="12" w:space="0" w:color="auto"/>
            </w:tcBorders>
          </w:tcPr>
          <w:p w:rsidR="00B275B2" w:rsidRDefault="00B275B2">
            <w:pPr>
              <w:rPr>
                <w:b/>
              </w:rPr>
            </w:pPr>
          </w:p>
          <w:p w:rsidR="00D54897" w:rsidRPr="00D54897" w:rsidRDefault="00D54897">
            <w:pPr>
              <w:rPr>
                <w:b/>
              </w:rPr>
            </w:pPr>
            <w:r w:rsidRPr="00D54897">
              <w:rPr>
                <w:b/>
              </w:rPr>
              <w:t>Indicators:</w:t>
            </w:r>
          </w:p>
        </w:tc>
        <w:tc>
          <w:tcPr>
            <w:tcW w:w="10827" w:type="dxa"/>
            <w:gridSpan w:val="4"/>
            <w:tcBorders>
              <w:bottom w:val="single" w:sz="12" w:space="0" w:color="auto"/>
            </w:tcBorders>
          </w:tcPr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D54897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Information Session Date ___/___/____            </w:t>
            </w:r>
          </w:p>
          <w:p w:rsidR="00D54897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NOTES: </w:t>
            </w:r>
          </w:p>
          <w:p w:rsidR="00D54897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D54897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D54897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D54897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</w:tr>
      <w:tr w:rsidR="00904AAF" w:rsidTr="00B275B2"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Pr="00D54897" w:rsidRDefault="00904AAF">
            <w:pPr>
              <w:rPr>
                <w:b/>
              </w:rPr>
            </w:pPr>
            <w:r w:rsidRPr="00D54897">
              <w:rPr>
                <w:b/>
              </w:rPr>
              <w:t xml:space="preserve">Administrative Review of </w:t>
            </w:r>
            <w:r w:rsidR="00D54897">
              <w:rPr>
                <w:b/>
              </w:rPr>
              <w:t xml:space="preserve">Competency </w:t>
            </w:r>
            <w:r w:rsidRPr="00D54897">
              <w:rPr>
                <w:b/>
              </w:rPr>
              <w:t xml:space="preserve">Area/ Diagnostics </w:t>
            </w:r>
          </w:p>
          <w:p w:rsidR="00904AAF" w:rsidRDefault="00904AAF"/>
          <w:p w:rsidR="00904AAF" w:rsidRDefault="00904AAF">
            <w:r>
              <w:t>(based on at least one D client and one GA or PR client when possible)</w:t>
            </w:r>
          </w:p>
        </w:tc>
        <w:tc>
          <w:tcPr>
            <w:tcW w:w="2678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Assessment inconsistently</w:t>
            </w:r>
            <w:r w:rsidR="00904AAF" w:rsidRPr="00A14912">
              <w:rPr>
                <w:b/>
              </w:rPr>
              <w:t xml:space="preserve"> </w:t>
            </w:r>
            <w:r w:rsidRPr="00A14912">
              <w:rPr>
                <w:b/>
              </w:rPr>
              <w:t>aligned</w:t>
            </w:r>
            <w:r w:rsidR="00904AAF" w:rsidRPr="00A14912">
              <w:rPr>
                <w:b/>
              </w:rPr>
              <w:t xml:space="preserve"> with evaluation criteria</w:t>
            </w:r>
          </w:p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Insufficient or inappropriate notes to client </w:t>
            </w:r>
            <w:r w:rsidR="00D54897" w:rsidRPr="00A14912">
              <w:rPr>
                <w:b/>
              </w:rPr>
              <w:t>and/</w:t>
            </w:r>
            <w:r w:rsidRPr="00A14912">
              <w:rPr>
                <w:b/>
              </w:rPr>
              <w:t>or staff</w:t>
            </w:r>
          </w:p>
          <w:p w:rsidR="00904AAF" w:rsidRPr="00A14912" w:rsidRDefault="00D5489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Diagnostic tab missing information</w:t>
            </w:r>
          </w:p>
          <w:p w:rsidR="00904AAF" w:rsidRPr="00A14912" w:rsidRDefault="00904AAF" w:rsidP="00A14912">
            <w:pPr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  <w:tc>
          <w:tcPr>
            <w:tcW w:w="281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D54897" w:rsidP="00CF5024">
            <w:pPr>
              <w:pStyle w:val="ListParagraph"/>
              <w:numPr>
                <w:ilvl w:val="0"/>
                <w:numId w:val="3"/>
              </w:numPr>
              <w:ind w:left="341"/>
            </w:pPr>
            <w:r>
              <w:lastRenderedPageBreak/>
              <w:t>Assessment usually aligned to evaluation criteria</w:t>
            </w:r>
          </w:p>
          <w:p w:rsidR="00904AAF" w:rsidRDefault="00D54897" w:rsidP="00CF5024">
            <w:pPr>
              <w:pStyle w:val="ListParagraph"/>
              <w:numPr>
                <w:ilvl w:val="0"/>
                <w:numId w:val="3"/>
              </w:numPr>
              <w:ind w:left="341"/>
            </w:pPr>
            <w:r>
              <w:t>Most n</w:t>
            </w:r>
            <w:r w:rsidR="00904AAF">
              <w:t xml:space="preserve">otes to client and/or staff </w:t>
            </w:r>
            <w:r>
              <w:t>are appropriate</w:t>
            </w:r>
          </w:p>
          <w:p w:rsidR="00595A36" w:rsidRDefault="00D54897" w:rsidP="00595A36">
            <w:pPr>
              <w:pStyle w:val="ListParagraph"/>
              <w:numPr>
                <w:ilvl w:val="0"/>
                <w:numId w:val="3"/>
              </w:numPr>
              <w:ind w:left="341"/>
            </w:pPr>
            <w:r>
              <w:t>Client progress may be encouraged by additional notes</w:t>
            </w:r>
          </w:p>
          <w:p w:rsidR="00D54897" w:rsidRDefault="00D54897" w:rsidP="00D54897">
            <w:pPr>
              <w:ind w:left="-19"/>
            </w:pPr>
          </w:p>
        </w:tc>
        <w:tc>
          <w:tcPr>
            <w:tcW w:w="293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595A36" w:rsidP="00CF5024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lastRenderedPageBreak/>
              <w:t>Assessment consistently aligned</w:t>
            </w:r>
            <w:r w:rsidR="00904AAF">
              <w:t xml:space="preserve"> with evaluation criteria</w:t>
            </w:r>
          </w:p>
          <w:p w:rsidR="00904AAF" w:rsidRDefault="00904AAF" w:rsidP="00CF5024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 xml:space="preserve">Appropriate </w:t>
            </w:r>
            <w:r w:rsidRPr="00D54897">
              <w:t>and useful</w:t>
            </w:r>
            <w:r>
              <w:t xml:space="preserve"> notes to client and staff</w:t>
            </w:r>
          </w:p>
          <w:p w:rsidR="00904AAF" w:rsidRDefault="00595A36" w:rsidP="000A3425">
            <w:pPr>
              <w:pStyle w:val="ListParagraph"/>
              <w:numPr>
                <w:ilvl w:val="0"/>
                <w:numId w:val="4"/>
              </w:numPr>
              <w:ind w:left="338"/>
            </w:pPr>
            <w:r>
              <w:t xml:space="preserve">Diagnostic tab shows all open and closed diagnostic instruments </w:t>
            </w:r>
            <w:r>
              <w:lastRenderedPageBreak/>
              <w:t>(including ND assessments)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595A36" w:rsidP="00595A36">
            <w:r>
              <w:lastRenderedPageBreak/>
              <w:t>As described in satisfactory rating, plus</w:t>
            </w:r>
          </w:p>
          <w:p w:rsidR="00595A36" w:rsidRDefault="00595A36" w:rsidP="00595A36">
            <w:pPr>
              <w:pStyle w:val="ListParagraph"/>
              <w:numPr>
                <w:ilvl w:val="0"/>
                <w:numId w:val="7"/>
              </w:numPr>
              <w:ind w:left="323"/>
            </w:pPr>
            <w:r>
              <w:t>Calls for and/or participates in consensus and mediation</w:t>
            </w:r>
            <w:r w:rsidR="0083497D">
              <w:t>, and/or</w:t>
            </w:r>
          </w:p>
          <w:p w:rsidR="00595A36" w:rsidRDefault="00595A36" w:rsidP="00595A36">
            <w:pPr>
              <w:pStyle w:val="ListParagraph"/>
              <w:numPr>
                <w:ilvl w:val="0"/>
                <w:numId w:val="7"/>
              </w:numPr>
              <w:ind w:left="323"/>
            </w:pPr>
            <w:r>
              <w:t>Makes item suggestions to CASAS/NEDP</w:t>
            </w:r>
          </w:p>
          <w:p w:rsidR="00595A36" w:rsidRDefault="00595A36" w:rsidP="00595A36">
            <w:pPr>
              <w:pStyle w:val="ListParagraph"/>
              <w:ind w:left="323"/>
            </w:pPr>
          </w:p>
        </w:tc>
      </w:tr>
      <w:tr w:rsidR="00595A36" w:rsidTr="00B275B2"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B275B2" w:rsidRDefault="00B275B2">
            <w:pPr>
              <w:rPr>
                <w:b/>
              </w:rPr>
            </w:pPr>
          </w:p>
          <w:p w:rsidR="00595A36" w:rsidRPr="00D54897" w:rsidRDefault="00595A36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1082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Area/</w:t>
            </w:r>
            <w:proofErr w:type="spellStart"/>
            <w:r w:rsidRPr="00A14912">
              <w:rPr>
                <w:b/>
              </w:rPr>
              <w:t>Diag</w:t>
            </w:r>
            <w:proofErr w:type="spellEnd"/>
            <w:r w:rsidRPr="00A14912">
              <w:rPr>
                <w:b/>
              </w:rPr>
              <w:t xml:space="preserve"> Reviewed ______________________   Client Number __________Review Date ____/___/____</w:t>
            </w:r>
          </w:p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Notes:</w:t>
            </w:r>
          </w:p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595A36" w:rsidRPr="00A14912" w:rsidRDefault="00595A36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</w:tr>
      <w:tr w:rsidR="00904AAF" w:rsidTr="00B275B2"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Pr="00595A36" w:rsidRDefault="00904AAF">
            <w:pPr>
              <w:rPr>
                <w:b/>
              </w:rPr>
            </w:pPr>
            <w:r w:rsidRPr="00595A36">
              <w:rPr>
                <w:b/>
              </w:rPr>
              <w:t>Responsiveness</w:t>
            </w:r>
          </w:p>
          <w:p w:rsidR="00595A36" w:rsidRDefault="00595A36">
            <w:r>
              <w:t>(evaluation and release of assessment, portfolio review or WP assessment)</w:t>
            </w:r>
          </w:p>
        </w:tc>
        <w:tc>
          <w:tcPr>
            <w:tcW w:w="2678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Unassessed or </w:t>
            </w:r>
            <w:r w:rsidR="0083497D" w:rsidRPr="00A14912">
              <w:rPr>
                <w:b/>
              </w:rPr>
              <w:t>unreleased client work past the two</w:t>
            </w:r>
            <w:r w:rsidRPr="00A14912">
              <w:rPr>
                <w:b/>
              </w:rPr>
              <w:t xml:space="preserve">-week window 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904AAF" w:rsidP="00595A36">
            <w:r>
              <w:t>Client work generall</w:t>
            </w:r>
            <w:r w:rsidR="0083497D">
              <w:t>y assessed and released within two</w:t>
            </w:r>
            <w:r>
              <w:t xml:space="preserve"> weeks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904AAF" w:rsidP="00595A36">
            <w:r>
              <w:t>Client work consistently scored/released within two weeks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595A36" w:rsidP="00595A36">
            <w:r>
              <w:t>Client work consistently assessed and released before two week window has elapsed</w:t>
            </w:r>
          </w:p>
        </w:tc>
      </w:tr>
      <w:tr w:rsidR="00B275B2" w:rsidTr="00B275B2"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B275B2" w:rsidRPr="00595A36" w:rsidRDefault="00B275B2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1082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B275B2" w:rsidRPr="00A14912" w:rsidRDefault="00B275B2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Client Status(</w:t>
            </w:r>
            <w:proofErr w:type="spellStart"/>
            <w:r w:rsidRPr="00A14912">
              <w:rPr>
                <w:b/>
              </w:rPr>
              <w:t>es</w:t>
            </w:r>
            <w:proofErr w:type="spellEnd"/>
            <w:r w:rsidRPr="00A14912">
              <w:rPr>
                <w:b/>
              </w:rPr>
              <w:t>) reviewed for:</w:t>
            </w:r>
          </w:p>
          <w:p w:rsidR="00B275B2" w:rsidRPr="00A14912" w:rsidRDefault="00B275B2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Notes:</w:t>
            </w:r>
          </w:p>
          <w:p w:rsidR="00B275B2" w:rsidRPr="00A14912" w:rsidRDefault="00B275B2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B275B2" w:rsidRPr="00A14912" w:rsidRDefault="00B275B2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83497D" w:rsidRPr="00A14912" w:rsidRDefault="0083497D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B275B2" w:rsidRPr="00A14912" w:rsidRDefault="00B275B2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</w:tr>
      <w:tr w:rsidR="00904AAF" w:rsidTr="00B275B2">
        <w:tc>
          <w:tcPr>
            <w:tcW w:w="2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AF" w:rsidRDefault="00904AAF">
            <w:pPr>
              <w:rPr>
                <w:b/>
              </w:rPr>
            </w:pPr>
            <w:r w:rsidRPr="00B275B2">
              <w:rPr>
                <w:b/>
              </w:rPr>
              <w:t>IOC/Feedback Session Observation</w:t>
            </w:r>
          </w:p>
          <w:p w:rsidR="00B275B2" w:rsidRDefault="00B275B2">
            <w:pPr>
              <w:rPr>
                <w:b/>
              </w:rPr>
            </w:pPr>
          </w:p>
          <w:p w:rsidR="00B275B2" w:rsidRPr="00B275B2" w:rsidRDefault="00B275B2">
            <w:r>
              <w:t>IOC/Feedback Session conducted according to the procedures and philosophy of competency-based assessment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B2" w:rsidRPr="00A14912" w:rsidRDefault="00B275B2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Session included frequent errors such as</w:t>
            </w:r>
          </w:p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Providing content instruction</w:t>
            </w:r>
          </w:p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Assessing work (or indicating assessment) during IOC</w:t>
            </w:r>
          </w:p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Paraphrasing questions or instructions</w:t>
            </w:r>
          </w:p>
          <w:p w:rsidR="00904AAF" w:rsidRPr="00A14912" w:rsidRDefault="00904AA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Using non-NEDP language such as failed</w:t>
            </w:r>
          </w:p>
          <w:p w:rsidR="00BC280A" w:rsidRPr="00A14912" w:rsidRDefault="00BC280A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AF" w:rsidRDefault="00B275B2" w:rsidP="00B275B2">
            <w:r>
              <w:lastRenderedPageBreak/>
              <w:t>Session was generally in line with NEDP procedures, but included one of the errors in the “inadequate” description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AF" w:rsidRDefault="00B275B2">
            <w:r>
              <w:t>Session was fully in line with NEDP procedures and was free from the errors listed in the “inadequate” description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AF" w:rsidRDefault="00B275B2">
            <w:r>
              <w:t>Session was in line with NEDP procedures, free from errors in the “inadequate” description; additionally, Assessor’s demeanor and style of communication was exemplary.</w:t>
            </w:r>
          </w:p>
        </w:tc>
      </w:tr>
      <w:tr w:rsidR="00B275B2" w:rsidTr="0083497D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C1E" w:rsidRDefault="008B3C1E">
            <w:pPr>
              <w:rPr>
                <w:b/>
              </w:rPr>
            </w:pPr>
          </w:p>
          <w:p w:rsidR="00B275B2" w:rsidRPr="00B275B2" w:rsidRDefault="00B275B2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108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C1E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B275B2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IOC/Feedback Session Date ____/____/_____            Client Number ___________________</w:t>
            </w:r>
          </w:p>
          <w:p w:rsidR="008B3C1E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Notes: </w:t>
            </w:r>
          </w:p>
          <w:p w:rsidR="008B3C1E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83497D" w:rsidRPr="00A14912" w:rsidRDefault="0083497D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83497D" w:rsidRPr="00A14912" w:rsidRDefault="0083497D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8B3C1E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8B3C1E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8B3C1E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</w:tr>
      <w:tr w:rsidR="00904AAF" w:rsidTr="0083497D"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Pr="00D3092F" w:rsidRDefault="00904AAF">
            <w:pPr>
              <w:rPr>
                <w:b/>
              </w:rPr>
            </w:pPr>
            <w:r w:rsidRPr="00D3092F">
              <w:rPr>
                <w:b/>
              </w:rPr>
              <w:t>Professional Development</w:t>
            </w:r>
          </w:p>
        </w:tc>
        <w:tc>
          <w:tcPr>
            <w:tcW w:w="267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4AAF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Staff has not participated in NEDP professional development opportunities</w:t>
            </w:r>
          </w:p>
          <w:p w:rsidR="008B3C1E" w:rsidRPr="00A14912" w:rsidRDefault="008B3C1E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Staff inconsistently attends NEDP staff meetings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AF" w:rsidRDefault="00290FA3" w:rsidP="00290FA3">
            <w:r>
              <w:t>Staff has participated in fewer than half of the available professional development opportunities or staff meetings.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A3" w:rsidRDefault="00290FA3" w:rsidP="00290FA3">
            <w:pPr>
              <w:pStyle w:val="ListParagraph"/>
              <w:numPr>
                <w:ilvl w:val="0"/>
                <w:numId w:val="9"/>
              </w:numPr>
              <w:ind w:left="380"/>
            </w:pPr>
            <w:r>
              <w:t xml:space="preserve">Staff has participated in several professional development opportunities, and </w:t>
            </w:r>
          </w:p>
          <w:p w:rsidR="00290FA3" w:rsidRDefault="00290FA3" w:rsidP="00290FA3">
            <w:pPr>
              <w:pStyle w:val="ListParagraph"/>
              <w:numPr>
                <w:ilvl w:val="0"/>
                <w:numId w:val="9"/>
              </w:numPr>
              <w:ind w:left="380"/>
            </w:pPr>
            <w:r>
              <w:t>Staff consistently attends NEDP staff meetings.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04AAF" w:rsidRDefault="00290FA3" w:rsidP="00290FA3">
            <w:r>
              <w:t>As described in the “satisfactory” rat</w:t>
            </w:r>
            <w:r w:rsidR="00D3092F">
              <w:t>ing, plus</w:t>
            </w:r>
          </w:p>
          <w:p w:rsidR="00290FA3" w:rsidRDefault="00290FA3" w:rsidP="00290FA3">
            <w:pPr>
              <w:pStyle w:val="ListParagraph"/>
              <w:numPr>
                <w:ilvl w:val="0"/>
                <w:numId w:val="10"/>
              </w:numPr>
              <w:ind w:left="323"/>
            </w:pPr>
            <w:r>
              <w:t>Provided professional development to peers and/or trainees</w:t>
            </w:r>
          </w:p>
          <w:p w:rsidR="00290FA3" w:rsidRDefault="00290FA3" w:rsidP="00290FA3">
            <w:pPr>
              <w:pStyle w:val="ListParagraph"/>
              <w:numPr>
                <w:ilvl w:val="0"/>
                <w:numId w:val="10"/>
              </w:numPr>
              <w:ind w:left="323"/>
            </w:pPr>
            <w:r>
              <w:t>Contributed to PD presented by other trainers</w:t>
            </w:r>
          </w:p>
        </w:tc>
      </w:tr>
      <w:tr w:rsidR="00D3092F" w:rsidTr="00D3092F"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:rsidR="00D3092F" w:rsidRPr="00D3092F" w:rsidRDefault="00D3092F">
            <w:pPr>
              <w:rPr>
                <w:b/>
              </w:rPr>
            </w:pPr>
            <w:r w:rsidRPr="00D3092F">
              <w:rPr>
                <w:b/>
              </w:rPr>
              <w:t>Indicators</w:t>
            </w:r>
          </w:p>
        </w:tc>
        <w:tc>
          <w:tcPr>
            <w:tcW w:w="10827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D3092F" w:rsidRPr="00A14912" w:rsidRDefault="00D3092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List Professional Development participation </w:t>
            </w:r>
            <w:r w:rsidR="0083497D" w:rsidRPr="00A14912">
              <w:rPr>
                <w:b/>
              </w:rPr>
              <w:t xml:space="preserve">and dates </w:t>
            </w:r>
            <w:r w:rsidRPr="00A14912">
              <w:rPr>
                <w:b/>
              </w:rPr>
              <w:t>here:</w:t>
            </w:r>
          </w:p>
          <w:p w:rsidR="00D3092F" w:rsidRPr="00A14912" w:rsidRDefault="00D3092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D3092F" w:rsidRPr="00A14912" w:rsidRDefault="00D3092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D3092F" w:rsidRPr="00A14912" w:rsidRDefault="00D3092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83497D" w:rsidRPr="00A14912" w:rsidRDefault="0083497D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BC280A" w:rsidRPr="00A14912" w:rsidRDefault="00BC280A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BC280A" w:rsidRPr="00A14912" w:rsidRDefault="00BC280A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  <w:p w:rsidR="00D3092F" w:rsidRPr="00A14912" w:rsidRDefault="00D3092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</w:tr>
      <w:tr w:rsidR="00904AAF" w:rsidTr="004023A7"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Pr="00D3092F" w:rsidRDefault="00904AAF">
            <w:pPr>
              <w:rPr>
                <w:b/>
              </w:rPr>
            </w:pPr>
            <w:r w:rsidRPr="00D3092F">
              <w:rPr>
                <w:b/>
              </w:rPr>
              <w:t>Client Evaluations</w:t>
            </w:r>
          </w:p>
        </w:tc>
        <w:tc>
          <w:tcPr>
            <w:tcW w:w="2678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Pr="00A14912" w:rsidRDefault="004023A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>Score of 2 or below on client evaluation(s)</w:t>
            </w:r>
          </w:p>
        </w:tc>
        <w:tc>
          <w:tcPr>
            <w:tcW w:w="281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4023A7">
            <w:r>
              <w:t>Score of 3 - 5 on client evaluation(s)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4023A7">
            <w:r>
              <w:t xml:space="preserve">Score of 6 – 8 on client evaluation(s) 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6" w:space="0" w:color="auto"/>
            </w:tcBorders>
          </w:tcPr>
          <w:p w:rsidR="00904AAF" w:rsidRDefault="004023A7">
            <w:r>
              <w:t>Score of 9 – 10 on client evaluation(s)</w:t>
            </w:r>
          </w:p>
        </w:tc>
      </w:tr>
      <w:tr w:rsidR="00D3092F" w:rsidTr="004023A7">
        <w:tc>
          <w:tcPr>
            <w:tcW w:w="2123" w:type="dxa"/>
            <w:tcBorders>
              <w:top w:val="single" w:sz="6" w:space="0" w:color="auto"/>
            </w:tcBorders>
          </w:tcPr>
          <w:p w:rsidR="00D3092F" w:rsidRPr="00D3092F" w:rsidRDefault="00D3092F">
            <w:pPr>
              <w:rPr>
                <w:b/>
              </w:rPr>
            </w:pPr>
            <w:r>
              <w:rPr>
                <w:b/>
              </w:rPr>
              <w:t>Indicators</w:t>
            </w:r>
          </w:p>
        </w:tc>
        <w:tc>
          <w:tcPr>
            <w:tcW w:w="10827" w:type="dxa"/>
            <w:gridSpan w:val="4"/>
            <w:tcBorders>
              <w:top w:val="single" w:sz="6" w:space="0" w:color="auto"/>
            </w:tcBorders>
          </w:tcPr>
          <w:p w:rsidR="00D3092F" w:rsidRPr="00A14912" w:rsidRDefault="004023A7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  <w:r w:rsidRPr="00A14912">
              <w:rPr>
                <w:b/>
              </w:rPr>
              <w:t xml:space="preserve">Attach client evaluation(s) </w:t>
            </w:r>
          </w:p>
          <w:p w:rsidR="00D3092F" w:rsidRPr="00A14912" w:rsidRDefault="00D3092F" w:rsidP="00A14912">
            <w:pPr>
              <w:pStyle w:val="ListParagraph"/>
              <w:numPr>
                <w:ilvl w:val="0"/>
                <w:numId w:val="1"/>
              </w:numPr>
              <w:ind w:left="342" w:hanging="378"/>
              <w:rPr>
                <w:b/>
              </w:rPr>
            </w:pPr>
          </w:p>
        </w:tc>
      </w:tr>
    </w:tbl>
    <w:p w:rsidR="006A3EBE" w:rsidRDefault="006A3EBE" w:rsidP="00871B9A"/>
    <w:sectPr w:rsidR="006A3EBE" w:rsidSect="00CF502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0B" w:rsidRDefault="00AB220B" w:rsidP="0083497D">
      <w:pPr>
        <w:spacing w:after="0" w:line="240" w:lineRule="auto"/>
      </w:pPr>
      <w:r>
        <w:separator/>
      </w:r>
    </w:p>
  </w:endnote>
  <w:endnote w:type="continuationSeparator" w:id="0">
    <w:p w:rsidR="00AB220B" w:rsidRDefault="00AB220B" w:rsidP="0083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0A" w:rsidRDefault="00BC280A" w:rsidP="00BC280A">
    <w:pPr>
      <w:ind w:left="720"/>
      <w:rPr>
        <w:sz w:val="16"/>
        <w:szCs w:val="16"/>
      </w:rPr>
    </w:pPr>
    <w:r>
      <w:rPr>
        <w:sz w:val="16"/>
        <w:szCs w:val="16"/>
      </w:rPr>
      <w:t>National External Diploma Program © 2019 CASAS – Comprehensive Adult Student Assessment Systems. All rights reserved.</w:t>
    </w:r>
  </w:p>
  <w:p w:rsidR="00BC280A" w:rsidRDefault="00BC280A">
    <w:pPr>
      <w:pStyle w:val="Footer"/>
    </w:pPr>
  </w:p>
  <w:p w:rsidR="003A4A71" w:rsidRDefault="003A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0B" w:rsidRDefault="00AB220B" w:rsidP="0083497D">
      <w:pPr>
        <w:spacing w:after="0" w:line="240" w:lineRule="auto"/>
      </w:pPr>
      <w:r>
        <w:separator/>
      </w:r>
    </w:p>
  </w:footnote>
  <w:footnote w:type="continuationSeparator" w:id="0">
    <w:p w:rsidR="00AB220B" w:rsidRDefault="00AB220B" w:rsidP="0083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71" w:rsidRDefault="00A14912" w:rsidP="00A14912">
    <w:pPr>
      <w:pStyle w:val="Header"/>
      <w:jc w:val="center"/>
    </w:pPr>
    <w:r w:rsidRPr="00A14912">
      <w:rPr>
        <w:cap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8174355" cy="304800"/>
              <wp:effectExtent l="0" t="0" r="1714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4355" cy="3048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912" w:rsidRPr="00A14912" w:rsidRDefault="00A14912" w:rsidP="00A14912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A14912">
                            <w:rPr>
                              <w:b/>
                              <w:caps/>
                              <w:color w:val="FFFFFF" w:themeColor="background1"/>
                              <w:sz w:val="24"/>
                            </w:rPr>
                            <w:t>NEDP Advisor assessor evaluation tool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5pt;width:643.6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" fillcolor="#7030a0">
              <v:textbox>
                <w:txbxContent>
                  <w:p w:rsidR="00A14912" w:rsidRPr="00A14912" w:rsidRDefault="00A14912" w:rsidP="00A14912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A14912">
                      <w:rPr>
                        <w:b/>
                        <w:caps/>
                        <w:color w:val="FFFFFF" w:themeColor="background1"/>
                        <w:sz w:val="24"/>
                      </w:rPr>
                      <w:t>NEDP Advisor assessor evaluation tool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55E"/>
    <w:multiLevelType w:val="hybridMultilevel"/>
    <w:tmpl w:val="FE2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1D0"/>
    <w:multiLevelType w:val="hybridMultilevel"/>
    <w:tmpl w:val="771E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ADE"/>
    <w:multiLevelType w:val="hybridMultilevel"/>
    <w:tmpl w:val="3950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3DE"/>
    <w:multiLevelType w:val="hybridMultilevel"/>
    <w:tmpl w:val="749C1E14"/>
    <w:lvl w:ilvl="0" w:tplc="4BD8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1E8"/>
    <w:multiLevelType w:val="hybridMultilevel"/>
    <w:tmpl w:val="04E6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0F3E"/>
    <w:multiLevelType w:val="hybridMultilevel"/>
    <w:tmpl w:val="24A2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2ABC"/>
    <w:multiLevelType w:val="hybridMultilevel"/>
    <w:tmpl w:val="450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4688"/>
    <w:multiLevelType w:val="hybridMultilevel"/>
    <w:tmpl w:val="282A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1550"/>
    <w:multiLevelType w:val="hybridMultilevel"/>
    <w:tmpl w:val="8D78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1289"/>
    <w:multiLevelType w:val="hybridMultilevel"/>
    <w:tmpl w:val="50E6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24"/>
    <w:rsid w:val="000A3425"/>
    <w:rsid w:val="001E7D1A"/>
    <w:rsid w:val="00290FA3"/>
    <w:rsid w:val="002A770A"/>
    <w:rsid w:val="003A4A71"/>
    <w:rsid w:val="004023A7"/>
    <w:rsid w:val="00595A36"/>
    <w:rsid w:val="006177CB"/>
    <w:rsid w:val="006935D3"/>
    <w:rsid w:val="006A3EBE"/>
    <w:rsid w:val="007140B5"/>
    <w:rsid w:val="00744D7E"/>
    <w:rsid w:val="0083497D"/>
    <w:rsid w:val="00871B9A"/>
    <w:rsid w:val="008B3C1E"/>
    <w:rsid w:val="00904AAF"/>
    <w:rsid w:val="0095302E"/>
    <w:rsid w:val="00974AD7"/>
    <w:rsid w:val="00A14912"/>
    <w:rsid w:val="00A17D59"/>
    <w:rsid w:val="00AB220B"/>
    <w:rsid w:val="00B275B2"/>
    <w:rsid w:val="00BA4AA5"/>
    <w:rsid w:val="00BB285F"/>
    <w:rsid w:val="00BC280A"/>
    <w:rsid w:val="00C31913"/>
    <w:rsid w:val="00CF5024"/>
    <w:rsid w:val="00D3092F"/>
    <w:rsid w:val="00D54897"/>
    <w:rsid w:val="00F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F28EA2-20EB-4463-820A-14258A19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7D"/>
  </w:style>
  <w:style w:type="paragraph" w:styleId="Footer">
    <w:name w:val="footer"/>
    <w:basedOn w:val="Normal"/>
    <w:link w:val="FooterChar"/>
    <w:uiPriority w:val="99"/>
    <w:unhideWhenUsed/>
    <w:rsid w:val="00834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92B3-A7C9-4398-8829-5D78CCF8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NEDP Advisor assessor evaluation tool- draft</vt:lpstr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NEDP Advisor assessor evaluation tool- draft</dc:title>
  <dc:subject/>
  <dc:creator>Janita</dc:creator>
  <cp:keywords/>
  <dc:description/>
  <cp:lastModifiedBy>Windows User</cp:lastModifiedBy>
  <cp:revision>2</cp:revision>
  <dcterms:created xsi:type="dcterms:W3CDTF">2021-03-25T14:09:00Z</dcterms:created>
  <dcterms:modified xsi:type="dcterms:W3CDTF">2021-03-25T14:09:00Z</dcterms:modified>
</cp:coreProperties>
</file>