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6C20" w14:textId="77777777" w:rsidR="00BE0DEA" w:rsidRDefault="00602E01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Benchmarks of Success for Maryland’s Workforce System </w:t>
      </w:r>
    </w:p>
    <w:p w14:paraId="5F7DDB9E" w14:textId="77777777" w:rsidR="00BE0DEA" w:rsidRDefault="00602E01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Monthly Overview of Committee Activities</w:t>
      </w:r>
    </w:p>
    <w:p w14:paraId="7A5F2DFD" w14:textId="3D471CE6" w:rsidR="00BE0DEA" w:rsidRDefault="00602E01">
      <w:pPr>
        <w:ind w:left="-720"/>
      </w:pPr>
      <w:r>
        <w:rPr>
          <w:b/>
          <w:u w:val="single"/>
        </w:rPr>
        <w:t>Quarter</w:t>
      </w:r>
      <w:r>
        <w:t xml:space="preserve">: </w:t>
      </w:r>
      <w:r w:rsidR="00E82C5C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Month</w:t>
      </w:r>
      <w:r>
        <w:t>:</w:t>
      </w:r>
      <w:r>
        <w:tab/>
      </w:r>
      <w:r w:rsidR="00E82C5C">
        <w:t>January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Year</w:t>
      </w:r>
      <w:r>
        <w:t xml:space="preserve">: </w:t>
      </w:r>
      <w:r w:rsidR="00E82C5C">
        <w:t>2023</w:t>
      </w:r>
    </w:p>
    <w:p w14:paraId="30742AD6" w14:textId="77777777" w:rsidR="00BE0DEA" w:rsidRDefault="00602E01">
      <w:pPr>
        <w:spacing w:after="0"/>
        <w:ind w:left="-720"/>
        <w:rPr>
          <w:b/>
          <w:u w:val="single"/>
        </w:rPr>
      </w:pPr>
      <w:r>
        <w:rPr>
          <w:b/>
          <w:u w:val="single"/>
        </w:rPr>
        <w:t>Attendance</w:t>
      </w:r>
    </w:p>
    <w:tbl>
      <w:tblPr>
        <w:tblStyle w:val="a"/>
        <w:tblW w:w="12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6"/>
        <w:gridCol w:w="590"/>
        <w:gridCol w:w="590"/>
        <w:gridCol w:w="637"/>
        <w:gridCol w:w="637"/>
        <w:gridCol w:w="1365"/>
        <w:gridCol w:w="1386"/>
        <w:gridCol w:w="599"/>
        <w:gridCol w:w="543"/>
        <w:gridCol w:w="910"/>
        <w:gridCol w:w="1135"/>
        <w:gridCol w:w="1211"/>
      </w:tblGrid>
      <w:tr w:rsidR="00BE0DEA" w14:paraId="494398CE" w14:textId="77777777">
        <w:trPr>
          <w:trHeight w:val="342"/>
        </w:trPr>
        <w:tc>
          <w:tcPr>
            <w:tcW w:w="33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C2B2E" w14:textId="77777777" w:rsidR="00BE0DEA" w:rsidRDefault="00BE0DEA"/>
        </w:tc>
        <w:tc>
          <w:tcPr>
            <w:tcW w:w="1180" w:type="dxa"/>
            <w:gridSpan w:val="2"/>
            <w:tcBorders>
              <w:left w:val="single" w:sz="4" w:space="0" w:color="000000"/>
            </w:tcBorders>
            <w:shd w:val="clear" w:color="auto" w:fill="E2EFD9"/>
          </w:tcPr>
          <w:p w14:paraId="493182F0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</w:t>
            </w:r>
          </w:p>
        </w:tc>
        <w:tc>
          <w:tcPr>
            <w:tcW w:w="1274" w:type="dxa"/>
            <w:gridSpan w:val="2"/>
            <w:shd w:val="clear" w:color="auto" w:fill="E2EFD9"/>
          </w:tcPr>
          <w:p w14:paraId="0B791B84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II</w:t>
            </w:r>
          </w:p>
        </w:tc>
        <w:tc>
          <w:tcPr>
            <w:tcW w:w="1365" w:type="dxa"/>
            <w:shd w:val="clear" w:color="auto" w:fill="E2EFD9"/>
          </w:tcPr>
          <w:p w14:paraId="402140C3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III</w:t>
            </w:r>
          </w:p>
        </w:tc>
        <w:tc>
          <w:tcPr>
            <w:tcW w:w="1386" w:type="dxa"/>
            <w:shd w:val="clear" w:color="auto" w:fill="E2EFD9"/>
          </w:tcPr>
          <w:p w14:paraId="56BE6051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IV</w:t>
            </w:r>
          </w:p>
        </w:tc>
        <w:tc>
          <w:tcPr>
            <w:tcW w:w="1142" w:type="dxa"/>
            <w:gridSpan w:val="2"/>
            <w:shd w:val="clear" w:color="auto" w:fill="E2EFD9"/>
          </w:tcPr>
          <w:p w14:paraId="6081D758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TANF</w:t>
            </w:r>
          </w:p>
        </w:tc>
        <w:tc>
          <w:tcPr>
            <w:tcW w:w="910" w:type="dxa"/>
            <w:shd w:val="clear" w:color="auto" w:fill="E2EFD9"/>
          </w:tcPr>
          <w:p w14:paraId="702F3597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DUI</w:t>
            </w:r>
          </w:p>
        </w:tc>
        <w:tc>
          <w:tcPr>
            <w:tcW w:w="1135" w:type="dxa"/>
            <w:shd w:val="clear" w:color="auto" w:fill="E2EFD9"/>
          </w:tcPr>
          <w:p w14:paraId="5E27CDE7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CSBG</w:t>
            </w:r>
          </w:p>
        </w:tc>
        <w:tc>
          <w:tcPr>
            <w:tcW w:w="1211" w:type="dxa"/>
            <w:shd w:val="clear" w:color="auto" w:fill="E2EFD9"/>
          </w:tcPr>
          <w:p w14:paraId="3812EE0F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BE0DEA" w14:paraId="3D325B9D" w14:textId="77777777">
        <w:trPr>
          <w:trHeight w:val="323"/>
        </w:trPr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9EB21" w14:textId="77777777" w:rsidR="00BE0DEA" w:rsidRDefault="00BE0DEA">
            <w:pPr>
              <w:rPr>
                <w:b/>
              </w:rPr>
            </w:pPr>
          </w:p>
        </w:tc>
        <w:tc>
          <w:tcPr>
            <w:tcW w:w="590" w:type="dxa"/>
            <w:tcBorders>
              <w:left w:val="single" w:sz="4" w:space="0" w:color="000000"/>
            </w:tcBorders>
            <w:shd w:val="clear" w:color="auto" w:fill="C5E0B3"/>
          </w:tcPr>
          <w:p w14:paraId="4BCE3817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90" w:type="dxa"/>
            <w:shd w:val="clear" w:color="auto" w:fill="C5E0B3"/>
          </w:tcPr>
          <w:p w14:paraId="414AA1CC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637" w:type="dxa"/>
            <w:shd w:val="clear" w:color="auto" w:fill="C5E0B3"/>
          </w:tcPr>
          <w:p w14:paraId="672DE7F9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637" w:type="dxa"/>
            <w:shd w:val="clear" w:color="auto" w:fill="C5E0B3"/>
          </w:tcPr>
          <w:p w14:paraId="672925A1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365" w:type="dxa"/>
            <w:shd w:val="clear" w:color="auto" w:fill="C5E0B3"/>
          </w:tcPr>
          <w:p w14:paraId="30957A17" w14:textId="77777777" w:rsidR="00BE0DEA" w:rsidRDefault="00BE0D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C5E0B3"/>
          </w:tcPr>
          <w:p w14:paraId="71798DB5" w14:textId="77777777" w:rsidR="00BE0DEA" w:rsidRDefault="00BE0D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C5E0B3"/>
          </w:tcPr>
          <w:p w14:paraId="5F3E5249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3" w:type="dxa"/>
            <w:shd w:val="clear" w:color="auto" w:fill="C5E0B3"/>
          </w:tcPr>
          <w:p w14:paraId="74E7AC55" w14:textId="77777777" w:rsidR="00BE0DEA" w:rsidRDefault="00602E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910" w:type="dxa"/>
            <w:shd w:val="clear" w:color="auto" w:fill="C5E0B3"/>
          </w:tcPr>
          <w:p w14:paraId="76CB35B5" w14:textId="77777777" w:rsidR="00BE0DEA" w:rsidRDefault="00BE0DEA">
            <w:pPr>
              <w:jc w:val="center"/>
              <w:rPr>
                <w:b/>
                <w:color w:val="FFF2CC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C5E0B3"/>
          </w:tcPr>
          <w:p w14:paraId="6CD85245" w14:textId="77777777" w:rsidR="00BE0DEA" w:rsidRDefault="00BE0DEA">
            <w:pPr>
              <w:jc w:val="center"/>
              <w:rPr>
                <w:color w:val="FFF2CC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C5E0B3"/>
          </w:tcPr>
          <w:p w14:paraId="41D90219" w14:textId="77777777" w:rsidR="00BE0DEA" w:rsidRDefault="00BE0DEA">
            <w:pPr>
              <w:jc w:val="center"/>
              <w:rPr>
                <w:sz w:val="20"/>
                <w:szCs w:val="20"/>
              </w:rPr>
            </w:pPr>
          </w:p>
        </w:tc>
      </w:tr>
      <w:tr w:rsidR="00BE0DEA" w14:paraId="7DED874F" w14:textId="77777777">
        <w:trPr>
          <w:trHeight w:val="342"/>
        </w:trPr>
        <w:tc>
          <w:tcPr>
            <w:tcW w:w="3316" w:type="dxa"/>
            <w:tcBorders>
              <w:top w:val="single" w:sz="4" w:space="0" w:color="000000"/>
            </w:tcBorders>
            <w:shd w:val="clear" w:color="auto" w:fill="auto"/>
          </w:tcPr>
          <w:p w14:paraId="4FF16A67" w14:textId="77777777" w:rsidR="00BE0DEA" w:rsidRDefault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Communications </w:t>
            </w:r>
          </w:p>
        </w:tc>
        <w:tc>
          <w:tcPr>
            <w:tcW w:w="590" w:type="dxa"/>
            <w:shd w:val="clear" w:color="auto" w:fill="auto"/>
          </w:tcPr>
          <w:p w14:paraId="7B8BDF7C" w14:textId="59A94AD4" w:rsidR="00BE0DEA" w:rsidRDefault="00BE0DEA">
            <w:pPr>
              <w:jc w:val="center"/>
            </w:pPr>
          </w:p>
        </w:tc>
        <w:tc>
          <w:tcPr>
            <w:tcW w:w="590" w:type="dxa"/>
            <w:shd w:val="clear" w:color="auto" w:fill="auto"/>
          </w:tcPr>
          <w:p w14:paraId="400991BB" w14:textId="77777777" w:rsidR="00BE0DEA" w:rsidRDefault="00BE0DEA">
            <w:pPr>
              <w:jc w:val="center"/>
            </w:pPr>
          </w:p>
        </w:tc>
        <w:tc>
          <w:tcPr>
            <w:tcW w:w="637" w:type="dxa"/>
            <w:shd w:val="clear" w:color="auto" w:fill="auto"/>
          </w:tcPr>
          <w:p w14:paraId="4A288C2C" w14:textId="2BD6A5BC" w:rsidR="00BE0DEA" w:rsidRDefault="00E3208F">
            <w:pPr>
              <w:tabs>
                <w:tab w:val="left" w:pos="345"/>
                <w:tab w:val="center" w:pos="432"/>
              </w:tabs>
              <w:jc w:val="center"/>
            </w:pPr>
            <w:r>
              <w:t>X</w:t>
            </w:r>
          </w:p>
        </w:tc>
        <w:tc>
          <w:tcPr>
            <w:tcW w:w="637" w:type="dxa"/>
            <w:shd w:val="clear" w:color="auto" w:fill="auto"/>
          </w:tcPr>
          <w:p w14:paraId="10965AA4" w14:textId="411DE8D2" w:rsidR="00BE0DEA" w:rsidRDefault="00BB69CD">
            <w:pPr>
              <w:jc w:val="center"/>
            </w:pPr>
            <w:r>
              <w:t>X</w:t>
            </w:r>
          </w:p>
        </w:tc>
        <w:tc>
          <w:tcPr>
            <w:tcW w:w="1365" w:type="dxa"/>
            <w:shd w:val="clear" w:color="auto" w:fill="auto"/>
          </w:tcPr>
          <w:p w14:paraId="731FF335" w14:textId="3379A66B" w:rsidR="00BE0DEA" w:rsidRDefault="00BB69CD">
            <w:pPr>
              <w:jc w:val="center"/>
            </w:pPr>
            <w:r>
              <w:t>X</w:t>
            </w:r>
          </w:p>
        </w:tc>
        <w:tc>
          <w:tcPr>
            <w:tcW w:w="1386" w:type="dxa"/>
            <w:shd w:val="clear" w:color="auto" w:fill="auto"/>
          </w:tcPr>
          <w:p w14:paraId="2BC229D9" w14:textId="5CF22073" w:rsidR="00BE0DEA" w:rsidRDefault="00BB69CD">
            <w:pPr>
              <w:jc w:val="center"/>
            </w:pPr>
            <w:r>
              <w:t>X</w:t>
            </w:r>
          </w:p>
        </w:tc>
        <w:tc>
          <w:tcPr>
            <w:tcW w:w="599" w:type="dxa"/>
            <w:shd w:val="clear" w:color="auto" w:fill="auto"/>
          </w:tcPr>
          <w:p w14:paraId="52CC2B65" w14:textId="4FD3C3DA" w:rsidR="00BE0DEA" w:rsidRDefault="00BB69CD">
            <w:pPr>
              <w:jc w:val="center"/>
            </w:pPr>
            <w:r>
              <w:t>X</w:t>
            </w:r>
          </w:p>
        </w:tc>
        <w:tc>
          <w:tcPr>
            <w:tcW w:w="543" w:type="dxa"/>
            <w:shd w:val="clear" w:color="auto" w:fill="auto"/>
          </w:tcPr>
          <w:p w14:paraId="7DA9990E" w14:textId="77777777" w:rsidR="00BE0DEA" w:rsidRDefault="00BE0DEA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14:paraId="6E61A658" w14:textId="77777777" w:rsidR="00BE0DEA" w:rsidRDefault="00BE0DEA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33376C57" w14:textId="787C6ED3" w:rsidR="00BE0DEA" w:rsidRDefault="00BE0DEA" w:rsidP="00910F89">
            <w:pPr>
              <w:jc w:val="center"/>
            </w:pPr>
          </w:p>
        </w:tc>
        <w:tc>
          <w:tcPr>
            <w:tcW w:w="1211" w:type="dxa"/>
            <w:shd w:val="clear" w:color="auto" w:fill="auto"/>
          </w:tcPr>
          <w:p w14:paraId="70440E82" w14:textId="66D7E619" w:rsidR="00BE0DEA" w:rsidRDefault="00BE0DEA">
            <w:pPr>
              <w:jc w:val="center"/>
            </w:pPr>
          </w:p>
        </w:tc>
      </w:tr>
      <w:tr w:rsidR="00BE0DEA" w14:paraId="2A4EEE4B" w14:textId="77777777">
        <w:trPr>
          <w:trHeight w:val="323"/>
        </w:trPr>
        <w:tc>
          <w:tcPr>
            <w:tcW w:w="3316" w:type="dxa"/>
            <w:shd w:val="clear" w:color="auto" w:fill="auto"/>
          </w:tcPr>
          <w:p w14:paraId="1C6CEC18" w14:textId="77777777" w:rsidR="00BE0DEA" w:rsidRDefault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 &amp; TA</w:t>
            </w:r>
          </w:p>
        </w:tc>
        <w:tc>
          <w:tcPr>
            <w:tcW w:w="590" w:type="dxa"/>
          </w:tcPr>
          <w:p w14:paraId="19AA1B14" w14:textId="68472AF8" w:rsidR="00BE0DEA" w:rsidRDefault="000E1622">
            <w:pPr>
              <w:jc w:val="center"/>
            </w:pPr>
            <w:r>
              <w:t>X</w:t>
            </w:r>
          </w:p>
        </w:tc>
        <w:tc>
          <w:tcPr>
            <w:tcW w:w="590" w:type="dxa"/>
          </w:tcPr>
          <w:p w14:paraId="2DDD973F" w14:textId="588A22AA" w:rsidR="00BE0DEA" w:rsidRDefault="00BE0DEA">
            <w:pPr>
              <w:jc w:val="center"/>
            </w:pPr>
          </w:p>
        </w:tc>
        <w:tc>
          <w:tcPr>
            <w:tcW w:w="637" w:type="dxa"/>
          </w:tcPr>
          <w:p w14:paraId="29002295" w14:textId="65DA780C" w:rsidR="00BE0DEA" w:rsidRDefault="000E1622">
            <w:pPr>
              <w:jc w:val="center"/>
            </w:pPr>
            <w:r>
              <w:t>X</w:t>
            </w:r>
          </w:p>
        </w:tc>
        <w:tc>
          <w:tcPr>
            <w:tcW w:w="637" w:type="dxa"/>
          </w:tcPr>
          <w:p w14:paraId="053B67AE" w14:textId="0823FEE9" w:rsidR="00BE0DEA" w:rsidRDefault="00BE0DEA">
            <w:pPr>
              <w:jc w:val="center"/>
            </w:pPr>
          </w:p>
        </w:tc>
        <w:tc>
          <w:tcPr>
            <w:tcW w:w="1365" w:type="dxa"/>
          </w:tcPr>
          <w:p w14:paraId="53051E81" w14:textId="67F6E192" w:rsidR="00BE0DEA" w:rsidRDefault="00BE0DEA">
            <w:pPr>
              <w:jc w:val="center"/>
            </w:pPr>
          </w:p>
        </w:tc>
        <w:tc>
          <w:tcPr>
            <w:tcW w:w="1386" w:type="dxa"/>
          </w:tcPr>
          <w:p w14:paraId="06701FB8" w14:textId="05388F56" w:rsidR="00BE0DEA" w:rsidRDefault="00BE0DEA">
            <w:pPr>
              <w:jc w:val="center"/>
            </w:pPr>
          </w:p>
        </w:tc>
        <w:tc>
          <w:tcPr>
            <w:tcW w:w="599" w:type="dxa"/>
          </w:tcPr>
          <w:p w14:paraId="167D9C0E" w14:textId="11D1EEB8" w:rsidR="00BE0DEA" w:rsidRDefault="000E1622">
            <w:r>
              <w:t>X</w:t>
            </w:r>
          </w:p>
        </w:tc>
        <w:tc>
          <w:tcPr>
            <w:tcW w:w="543" w:type="dxa"/>
          </w:tcPr>
          <w:p w14:paraId="6BD88021" w14:textId="77777777" w:rsidR="00BE0DEA" w:rsidRDefault="00BE0DEA">
            <w:pPr>
              <w:jc w:val="center"/>
            </w:pPr>
          </w:p>
        </w:tc>
        <w:tc>
          <w:tcPr>
            <w:tcW w:w="910" w:type="dxa"/>
          </w:tcPr>
          <w:p w14:paraId="6BB850EC" w14:textId="77777777" w:rsidR="00BE0DEA" w:rsidRDefault="00BE0DEA"/>
        </w:tc>
        <w:tc>
          <w:tcPr>
            <w:tcW w:w="1135" w:type="dxa"/>
          </w:tcPr>
          <w:p w14:paraId="19054CF9" w14:textId="4E95B887" w:rsidR="00BE0DEA" w:rsidRDefault="000E1622">
            <w:pPr>
              <w:jc w:val="center"/>
            </w:pPr>
            <w:r>
              <w:t>X</w:t>
            </w:r>
          </w:p>
        </w:tc>
        <w:tc>
          <w:tcPr>
            <w:tcW w:w="1211" w:type="dxa"/>
          </w:tcPr>
          <w:p w14:paraId="7B669AD6" w14:textId="1510F743" w:rsidR="00BE0DEA" w:rsidRDefault="000E1622">
            <w:pPr>
              <w:jc w:val="center"/>
            </w:pPr>
            <w:r>
              <w:t>X</w:t>
            </w:r>
          </w:p>
        </w:tc>
      </w:tr>
      <w:tr w:rsidR="00602E01" w14:paraId="516E9738" w14:textId="77777777" w:rsidTr="000E1622">
        <w:trPr>
          <w:trHeight w:val="342"/>
        </w:trPr>
        <w:tc>
          <w:tcPr>
            <w:tcW w:w="3316" w:type="dxa"/>
            <w:shd w:val="clear" w:color="auto" w:fill="auto"/>
          </w:tcPr>
          <w:p w14:paraId="3118721D" w14:textId="77777777" w:rsidR="00602E01" w:rsidRDefault="00602E01" w:rsidP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Dashboard</w:t>
            </w:r>
          </w:p>
        </w:tc>
        <w:tc>
          <w:tcPr>
            <w:tcW w:w="590" w:type="dxa"/>
            <w:shd w:val="clear" w:color="auto" w:fill="AEAAAA" w:themeFill="background2" w:themeFillShade="BF"/>
          </w:tcPr>
          <w:p w14:paraId="11DE8539" w14:textId="49A24150" w:rsidR="00602E01" w:rsidRDefault="00602E01" w:rsidP="00602E01">
            <w:pPr>
              <w:jc w:val="center"/>
            </w:pPr>
          </w:p>
        </w:tc>
        <w:tc>
          <w:tcPr>
            <w:tcW w:w="590" w:type="dxa"/>
            <w:shd w:val="clear" w:color="auto" w:fill="AEAAAA" w:themeFill="background2" w:themeFillShade="BF"/>
          </w:tcPr>
          <w:p w14:paraId="20A9A883" w14:textId="70B06A75" w:rsidR="00602E01" w:rsidRDefault="00602E01" w:rsidP="00602E01">
            <w:pPr>
              <w:jc w:val="center"/>
            </w:pPr>
          </w:p>
        </w:tc>
        <w:tc>
          <w:tcPr>
            <w:tcW w:w="637" w:type="dxa"/>
            <w:shd w:val="clear" w:color="auto" w:fill="AEAAAA" w:themeFill="background2" w:themeFillShade="BF"/>
          </w:tcPr>
          <w:p w14:paraId="27B26409" w14:textId="3AF106E3" w:rsidR="00602E01" w:rsidRDefault="00602E01" w:rsidP="00602E01">
            <w:pPr>
              <w:jc w:val="center"/>
            </w:pPr>
          </w:p>
        </w:tc>
        <w:tc>
          <w:tcPr>
            <w:tcW w:w="637" w:type="dxa"/>
            <w:shd w:val="clear" w:color="auto" w:fill="AEAAAA" w:themeFill="background2" w:themeFillShade="BF"/>
          </w:tcPr>
          <w:p w14:paraId="01B47AD3" w14:textId="77777777" w:rsidR="00602E01" w:rsidRDefault="00602E01" w:rsidP="00602E01">
            <w:pPr>
              <w:jc w:val="center"/>
            </w:pPr>
          </w:p>
        </w:tc>
        <w:tc>
          <w:tcPr>
            <w:tcW w:w="1365" w:type="dxa"/>
            <w:shd w:val="clear" w:color="auto" w:fill="AEAAAA" w:themeFill="background2" w:themeFillShade="BF"/>
          </w:tcPr>
          <w:p w14:paraId="03D8A40F" w14:textId="4BA1FA05" w:rsidR="00602E01" w:rsidRDefault="00602E01" w:rsidP="00602E01">
            <w:pPr>
              <w:jc w:val="center"/>
            </w:pPr>
          </w:p>
        </w:tc>
        <w:tc>
          <w:tcPr>
            <w:tcW w:w="1386" w:type="dxa"/>
            <w:shd w:val="clear" w:color="auto" w:fill="AEAAAA" w:themeFill="background2" w:themeFillShade="BF"/>
          </w:tcPr>
          <w:p w14:paraId="291A77CB" w14:textId="20017D91" w:rsidR="00602E01" w:rsidRDefault="00602E01" w:rsidP="00602E01">
            <w:pPr>
              <w:jc w:val="center"/>
            </w:pPr>
          </w:p>
        </w:tc>
        <w:tc>
          <w:tcPr>
            <w:tcW w:w="599" w:type="dxa"/>
            <w:shd w:val="clear" w:color="auto" w:fill="AEAAAA" w:themeFill="background2" w:themeFillShade="BF"/>
          </w:tcPr>
          <w:p w14:paraId="777274E2" w14:textId="743ADECB" w:rsidR="00602E01" w:rsidRDefault="00602E01" w:rsidP="00602E01">
            <w:pPr>
              <w:jc w:val="center"/>
            </w:pPr>
          </w:p>
        </w:tc>
        <w:tc>
          <w:tcPr>
            <w:tcW w:w="543" w:type="dxa"/>
            <w:shd w:val="clear" w:color="auto" w:fill="AEAAAA" w:themeFill="background2" w:themeFillShade="BF"/>
          </w:tcPr>
          <w:p w14:paraId="7CFB045C" w14:textId="1181F7A7" w:rsidR="00602E01" w:rsidRDefault="00602E01" w:rsidP="00602E01">
            <w:pPr>
              <w:jc w:val="center"/>
            </w:pPr>
          </w:p>
        </w:tc>
        <w:tc>
          <w:tcPr>
            <w:tcW w:w="910" w:type="dxa"/>
            <w:shd w:val="clear" w:color="auto" w:fill="AEAAAA" w:themeFill="background2" w:themeFillShade="BF"/>
          </w:tcPr>
          <w:p w14:paraId="44E34890" w14:textId="77777777" w:rsidR="00602E01" w:rsidRDefault="00602E01" w:rsidP="00602E01">
            <w:pPr>
              <w:jc w:val="center"/>
            </w:pPr>
          </w:p>
        </w:tc>
        <w:tc>
          <w:tcPr>
            <w:tcW w:w="1135" w:type="dxa"/>
            <w:shd w:val="clear" w:color="auto" w:fill="AEAAAA" w:themeFill="background2" w:themeFillShade="BF"/>
          </w:tcPr>
          <w:p w14:paraId="5E63A1FD" w14:textId="77777777" w:rsidR="00602E01" w:rsidRDefault="00602E01" w:rsidP="00602E01">
            <w:pPr>
              <w:jc w:val="center"/>
            </w:pPr>
          </w:p>
        </w:tc>
        <w:tc>
          <w:tcPr>
            <w:tcW w:w="1211" w:type="dxa"/>
            <w:shd w:val="clear" w:color="auto" w:fill="AEAAAA" w:themeFill="background2" w:themeFillShade="BF"/>
          </w:tcPr>
          <w:p w14:paraId="2F4A5368" w14:textId="77777777" w:rsidR="00602E01" w:rsidRDefault="00602E01" w:rsidP="00602E01">
            <w:pPr>
              <w:jc w:val="center"/>
            </w:pPr>
          </w:p>
        </w:tc>
      </w:tr>
      <w:tr w:rsidR="00BE0DEA" w14:paraId="406E9A53" w14:textId="77777777">
        <w:trPr>
          <w:trHeight w:val="323"/>
        </w:trPr>
        <w:tc>
          <w:tcPr>
            <w:tcW w:w="3316" w:type="dxa"/>
            <w:shd w:val="clear" w:color="auto" w:fill="auto"/>
          </w:tcPr>
          <w:p w14:paraId="1AAC2267" w14:textId="77777777" w:rsidR="00BE0DEA" w:rsidRDefault="00602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Policy</w:t>
            </w:r>
          </w:p>
        </w:tc>
        <w:tc>
          <w:tcPr>
            <w:tcW w:w="590" w:type="dxa"/>
            <w:shd w:val="clear" w:color="auto" w:fill="AEAAAA"/>
          </w:tcPr>
          <w:p w14:paraId="58B081D6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590" w:type="dxa"/>
            <w:shd w:val="clear" w:color="auto" w:fill="AEAAAA"/>
          </w:tcPr>
          <w:p w14:paraId="0671E655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637" w:type="dxa"/>
            <w:shd w:val="clear" w:color="auto" w:fill="AEAAAA"/>
          </w:tcPr>
          <w:p w14:paraId="5A9DFA75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637" w:type="dxa"/>
            <w:shd w:val="clear" w:color="auto" w:fill="AEAAAA"/>
          </w:tcPr>
          <w:p w14:paraId="799E4174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365" w:type="dxa"/>
            <w:shd w:val="clear" w:color="auto" w:fill="AEAAAA"/>
          </w:tcPr>
          <w:p w14:paraId="4741EF02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386" w:type="dxa"/>
            <w:shd w:val="clear" w:color="auto" w:fill="AEAAAA"/>
          </w:tcPr>
          <w:p w14:paraId="477B00E9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599" w:type="dxa"/>
            <w:shd w:val="clear" w:color="auto" w:fill="AEAAAA"/>
          </w:tcPr>
          <w:p w14:paraId="54DEB4AC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543" w:type="dxa"/>
            <w:shd w:val="clear" w:color="auto" w:fill="AEAAAA"/>
          </w:tcPr>
          <w:p w14:paraId="7EC61601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910" w:type="dxa"/>
            <w:shd w:val="clear" w:color="auto" w:fill="AEAAAA"/>
          </w:tcPr>
          <w:p w14:paraId="1047174E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135" w:type="dxa"/>
            <w:shd w:val="clear" w:color="auto" w:fill="AEAAAA"/>
          </w:tcPr>
          <w:p w14:paraId="1255D764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  <w:tc>
          <w:tcPr>
            <w:tcW w:w="1211" w:type="dxa"/>
            <w:shd w:val="clear" w:color="auto" w:fill="AEAAAA"/>
          </w:tcPr>
          <w:p w14:paraId="0234D8D2" w14:textId="77777777" w:rsidR="00BE0DEA" w:rsidRDefault="00BE0DEA">
            <w:pPr>
              <w:jc w:val="center"/>
              <w:rPr>
                <w:shd w:val="clear" w:color="auto" w:fill="999999"/>
              </w:rPr>
            </w:pPr>
          </w:p>
        </w:tc>
      </w:tr>
    </w:tbl>
    <w:p w14:paraId="6E23382B" w14:textId="77777777" w:rsidR="00BE0DEA" w:rsidRDefault="00BE0DEA">
      <w:pPr>
        <w:spacing w:after="0"/>
        <w:ind w:left="-720"/>
        <w:rPr>
          <w:b/>
          <w:u w:val="single"/>
        </w:rPr>
      </w:pPr>
    </w:p>
    <w:p w14:paraId="582ECE8B" w14:textId="77777777" w:rsidR="00BE0DEA" w:rsidRDefault="00602E01">
      <w:pPr>
        <w:spacing w:after="0"/>
        <w:ind w:left="-720"/>
        <w:rPr>
          <w:b/>
          <w:u w:val="single"/>
        </w:rPr>
      </w:pPr>
      <w:r>
        <w:rPr>
          <w:b/>
          <w:u w:val="single"/>
        </w:rPr>
        <w:t>Activities Summary</w:t>
      </w:r>
    </w:p>
    <w:p w14:paraId="16B68D54" w14:textId="77777777" w:rsidR="00BE0DEA" w:rsidRDefault="00BE0DEA">
      <w:pPr>
        <w:spacing w:after="0"/>
        <w:ind w:left="-720"/>
        <w:rPr>
          <w:b/>
          <w:u w:val="single"/>
        </w:rPr>
      </w:pPr>
    </w:p>
    <w:p w14:paraId="74589964" w14:textId="212FFDFB" w:rsidR="00BE0DEA" w:rsidRDefault="00E82C5C">
      <w:pPr>
        <w:spacing w:after="0"/>
        <w:ind w:left="-720"/>
        <w:jc w:val="both"/>
      </w:pPr>
      <w:r>
        <w:t>Two C</w:t>
      </w:r>
      <w:r w:rsidR="00602E01">
        <w:t>ommittees met this month, including the Communications</w:t>
      </w:r>
      <w:r w:rsidR="00B02BDD">
        <w:t xml:space="preserve"> and Professional Development and Technical Assistance</w:t>
      </w:r>
      <w:r w:rsidR="00602E01">
        <w:t xml:space="preserve"> Committees. The Communications Committee has t</w:t>
      </w:r>
      <w:r>
        <w:t>wo</w:t>
      </w:r>
      <w:r w:rsidR="00602E01">
        <w:t xml:space="preserve"> handouts to share with the WIOA Alignment Group. </w:t>
      </w:r>
      <w:r w:rsidR="00B02BDD">
        <w:t xml:space="preserve">The Data and Dashboard Committee has </w:t>
      </w:r>
      <w:r>
        <w:t>updates about sharing workforce system data</w:t>
      </w:r>
      <w:r w:rsidR="00B02BDD">
        <w:t>.</w:t>
      </w:r>
    </w:p>
    <w:p w14:paraId="06019548" w14:textId="77777777" w:rsidR="00BE0DEA" w:rsidRDefault="00BE0DEA">
      <w:pPr>
        <w:spacing w:after="0"/>
        <w:ind w:left="-720"/>
      </w:pPr>
    </w:p>
    <w:tbl>
      <w:tblPr>
        <w:tblStyle w:val="a0"/>
        <w:tblW w:w="1455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1275"/>
        <w:gridCol w:w="3330"/>
        <w:gridCol w:w="2958"/>
        <w:gridCol w:w="2880"/>
        <w:gridCol w:w="2335"/>
      </w:tblGrid>
      <w:tr w:rsidR="00BE0DEA" w14:paraId="076AEC14" w14:textId="77777777" w:rsidTr="000D18FF">
        <w:trPr>
          <w:trHeight w:val="530"/>
        </w:trPr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C899B1" w14:textId="77777777" w:rsidR="00BE0DEA" w:rsidRDefault="00BE0DE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B4C6E7"/>
          </w:tcPr>
          <w:p w14:paraId="7BBCC70E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Dates</w:t>
            </w:r>
          </w:p>
        </w:tc>
        <w:tc>
          <w:tcPr>
            <w:tcW w:w="3330" w:type="dxa"/>
            <w:shd w:val="clear" w:color="auto" w:fill="B4C6E7"/>
          </w:tcPr>
          <w:p w14:paraId="142D674A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Plan Goals and Deliverables</w:t>
            </w:r>
          </w:p>
        </w:tc>
        <w:tc>
          <w:tcPr>
            <w:tcW w:w="2958" w:type="dxa"/>
            <w:shd w:val="clear" w:color="auto" w:fill="B4C6E7"/>
          </w:tcPr>
          <w:p w14:paraId="2CE03775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880" w:type="dxa"/>
            <w:shd w:val="clear" w:color="auto" w:fill="B4C6E7"/>
          </w:tcPr>
          <w:p w14:paraId="30BC5879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Learnings / Challenges</w:t>
            </w:r>
          </w:p>
        </w:tc>
        <w:tc>
          <w:tcPr>
            <w:tcW w:w="2335" w:type="dxa"/>
            <w:shd w:val="clear" w:color="auto" w:fill="B4C6E7"/>
          </w:tcPr>
          <w:p w14:paraId="449AF30C" w14:textId="77777777" w:rsidR="00BE0DEA" w:rsidRDefault="00602E01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Opportunities for Collaboration</w:t>
            </w:r>
          </w:p>
        </w:tc>
      </w:tr>
      <w:tr w:rsidR="00BE0DEA" w14:paraId="537D3DBE" w14:textId="77777777" w:rsidTr="000D18FF">
        <w:tc>
          <w:tcPr>
            <w:tcW w:w="1779" w:type="dxa"/>
            <w:shd w:val="clear" w:color="auto" w:fill="FFFFFF"/>
          </w:tcPr>
          <w:p w14:paraId="2BEF7124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shd w:val="clear" w:color="auto" w:fill="FFFFFF"/>
          </w:tcPr>
          <w:p w14:paraId="1BD43C8F" w14:textId="701B59BC" w:rsidR="00BE0DEA" w:rsidRDefault="00E3208F">
            <w:pPr>
              <w:spacing w:before="120" w:after="120"/>
              <w:ind w:lef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12</w:t>
            </w:r>
          </w:p>
        </w:tc>
        <w:tc>
          <w:tcPr>
            <w:tcW w:w="3330" w:type="dxa"/>
            <w:shd w:val="clear" w:color="auto" w:fill="FFFFFF"/>
          </w:tcPr>
          <w:p w14:paraId="631F5B74" w14:textId="77777777" w:rsidR="00E3208F" w:rsidRPr="00E3208F" w:rsidRDefault="00E3208F" w:rsidP="00E320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3208F">
              <w:rPr>
                <w:color w:val="000000"/>
                <w:sz w:val="20"/>
                <w:szCs w:val="20"/>
              </w:rPr>
              <w:t>The Committee produced/posted Newsletter Issue #41 (November/December) as scheduled, on December 13, 2022. The Committee is on track to post Issue #42 (January) as scheduled, on January 31, 2023.</w:t>
            </w:r>
          </w:p>
          <w:p w14:paraId="3824028E" w14:textId="45046EF2" w:rsidR="00BE0DEA" w:rsidRDefault="00E3208F" w:rsidP="00E320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E3208F">
              <w:rPr>
                <w:color w:val="000000"/>
                <w:sz w:val="20"/>
                <w:szCs w:val="20"/>
              </w:rPr>
              <w:t xml:space="preserve">The January issue includes an article that summarizes the goals of the Supplemental Nutrition Assistance Program, to </w:t>
            </w:r>
            <w:r w:rsidRPr="00E3208F">
              <w:rPr>
                <w:color w:val="000000"/>
                <w:sz w:val="20"/>
                <w:szCs w:val="20"/>
              </w:rPr>
              <w:lastRenderedPageBreak/>
              <w:t>provide support for the new partnership with this program.</w:t>
            </w:r>
          </w:p>
        </w:tc>
        <w:tc>
          <w:tcPr>
            <w:tcW w:w="2958" w:type="dxa"/>
            <w:shd w:val="clear" w:color="auto" w:fill="FFFFFF"/>
          </w:tcPr>
          <w:p w14:paraId="5882DBCC" w14:textId="62272E0E" w:rsidR="00CA058A" w:rsidRPr="00910F89" w:rsidRDefault="00E3208F" w:rsidP="00910F89">
            <w:pPr>
              <w:pStyle w:val="ListParagraph"/>
              <w:numPr>
                <w:ilvl w:val="0"/>
                <w:numId w:val="3"/>
              </w:numPr>
              <w:spacing w:before="120" w:after="120"/>
              <w:ind w:left="331"/>
              <w:rPr>
                <w:sz w:val="20"/>
                <w:szCs w:val="20"/>
              </w:rPr>
            </w:pPr>
            <w:r w:rsidRPr="00E3208F">
              <w:rPr>
                <w:sz w:val="20"/>
                <w:szCs w:val="20"/>
              </w:rPr>
              <w:lastRenderedPageBreak/>
              <w:t>The Committee produced the second annual analysis of the Benchmarks of Success Newsletter to give the WIOA Alignment Group with an overview of committee activities for the year.</w:t>
            </w:r>
          </w:p>
        </w:tc>
        <w:tc>
          <w:tcPr>
            <w:tcW w:w="2880" w:type="dxa"/>
            <w:shd w:val="clear" w:color="auto" w:fill="FFFFFF"/>
          </w:tcPr>
          <w:p w14:paraId="2F3715A0" w14:textId="77777777" w:rsidR="00BE0DEA" w:rsidRDefault="00910F8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335" w:type="dxa"/>
            <w:shd w:val="clear" w:color="auto" w:fill="FFFFFF"/>
          </w:tcPr>
          <w:p w14:paraId="6F455FE8" w14:textId="77777777" w:rsidR="00BE0DEA" w:rsidRDefault="00910F89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E0DEA" w14:paraId="02CEEC39" w14:textId="77777777" w:rsidTr="000D18FF">
        <w:tc>
          <w:tcPr>
            <w:tcW w:w="1779" w:type="dxa"/>
            <w:shd w:val="clear" w:color="auto" w:fill="FFFFFF"/>
          </w:tcPr>
          <w:p w14:paraId="06B6829C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and Dashboard</w:t>
            </w:r>
          </w:p>
        </w:tc>
        <w:tc>
          <w:tcPr>
            <w:tcW w:w="1275" w:type="dxa"/>
            <w:shd w:val="clear" w:color="auto" w:fill="FFFFFF"/>
          </w:tcPr>
          <w:p w14:paraId="22BD5352" w14:textId="1FE7476D" w:rsidR="00BE0DEA" w:rsidRDefault="00BE0DEA">
            <w:pPr>
              <w:spacing w:before="120" w:after="120"/>
              <w:ind w:left="43"/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/>
          </w:tcPr>
          <w:p w14:paraId="0C419300" w14:textId="77777777" w:rsidR="00BE0DEA" w:rsidRDefault="000E1622" w:rsidP="00BB69CD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Committee compiled data from Program Year’s 19, 20, and 21</w:t>
            </w:r>
          </w:p>
          <w:p w14:paraId="247D812B" w14:textId="596D6240" w:rsidR="000E1622" w:rsidRDefault="000E1622" w:rsidP="00BB69CD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Measurable Skill Gains policy was issued on January 10</w:t>
            </w:r>
          </w:p>
        </w:tc>
        <w:tc>
          <w:tcPr>
            <w:tcW w:w="2958" w:type="dxa"/>
            <w:shd w:val="clear" w:color="auto" w:fill="FFFFFF"/>
          </w:tcPr>
          <w:p w14:paraId="586C722E" w14:textId="7B39F2A8" w:rsidR="00BE0DEA" w:rsidRPr="00602E01" w:rsidRDefault="00BE0DEA" w:rsidP="00602E0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/>
          </w:tcPr>
          <w:p w14:paraId="53653EBA" w14:textId="49877C20" w:rsidR="00BE0DEA" w:rsidRPr="00602E01" w:rsidRDefault="000D18FF" w:rsidP="00602E0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Committee is working to get the data into a readable format, as well as reconciling differences in how metrics are reported from one agency to another, specifically metric 1.2</w:t>
            </w:r>
          </w:p>
        </w:tc>
        <w:tc>
          <w:tcPr>
            <w:tcW w:w="2335" w:type="dxa"/>
            <w:shd w:val="clear" w:color="auto" w:fill="FFFFFF"/>
          </w:tcPr>
          <w:p w14:paraId="6E24549D" w14:textId="77777777" w:rsidR="00BE0DEA" w:rsidRDefault="00602E01">
            <w:pPr>
              <w:spacing w:before="120" w:after="120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>N/A</w:t>
            </w:r>
          </w:p>
        </w:tc>
      </w:tr>
      <w:tr w:rsidR="00BE0DEA" w14:paraId="67814CAE" w14:textId="77777777" w:rsidTr="000D18FF">
        <w:tc>
          <w:tcPr>
            <w:tcW w:w="1779" w:type="dxa"/>
            <w:shd w:val="clear" w:color="auto" w:fill="FFFFFF"/>
          </w:tcPr>
          <w:p w14:paraId="5748EA72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Policy</w:t>
            </w:r>
          </w:p>
        </w:tc>
        <w:tc>
          <w:tcPr>
            <w:tcW w:w="1275" w:type="dxa"/>
            <w:shd w:val="clear" w:color="auto" w:fill="FFFFFF"/>
          </w:tcPr>
          <w:p w14:paraId="235709E9" w14:textId="5E5E2805" w:rsidR="00BE0DEA" w:rsidRDefault="00BE0DEA" w:rsidP="000E1622">
            <w:pPr>
              <w:spacing w:before="120" w:after="120"/>
              <w:ind w:left="43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/>
          </w:tcPr>
          <w:p w14:paraId="5D23E8BD" w14:textId="59512893" w:rsidR="00BE0DEA" w:rsidRPr="000D18FF" w:rsidRDefault="000D18FF" w:rsidP="000D18F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Measurable Skill Gains policy was issued on January 10</w:t>
            </w:r>
          </w:p>
        </w:tc>
        <w:tc>
          <w:tcPr>
            <w:tcW w:w="2958" w:type="dxa"/>
            <w:shd w:val="clear" w:color="auto" w:fill="FFFFFF"/>
          </w:tcPr>
          <w:p w14:paraId="45A4843C" w14:textId="4992952E" w:rsidR="00BE0DEA" w:rsidRPr="00910F89" w:rsidRDefault="00BE0DEA" w:rsidP="00910F8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FFFFF"/>
          </w:tcPr>
          <w:p w14:paraId="5371C903" w14:textId="2A916FFF" w:rsidR="00BE0DEA" w:rsidRPr="000D18FF" w:rsidRDefault="000D18FF" w:rsidP="000D18FF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Committee is in the process of getting a new chair/co-chair</w:t>
            </w:r>
          </w:p>
        </w:tc>
        <w:tc>
          <w:tcPr>
            <w:tcW w:w="2335" w:type="dxa"/>
            <w:shd w:val="clear" w:color="auto" w:fill="FFFFFF"/>
          </w:tcPr>
          <w:p w14:paraId="4F39626A" w14:textId="77777777" w:rsidR="00BE0DEA" w:rsidRDefault="00BE0DE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E0DEA" w14:paraId="389E568D" w14:textId="77777777" w:rsidTr="000D18FF">
        <w:tc>
          <w:tcPr>
            <w:tcW w:w="1779" w:type="dxa"/>
            <w:shd w:val="clear" w:color="auto" w:fill="FFFFFF"/>
          </w:tcPr>
          <w:p w14:paraId="666796AF" w14:textId="77777777" w:rsidR="00BE0DEA" w:rsidRDefault="00602E0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Development and Technical Assistance</w:t>
            </w:r>
          </w:p>
          <w:p w14:paraId="2F0CB1DC" w14:textId="77777777" w:rsidR="00BE0DEA" w:rsidRDefault="00BE0DE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510092F" w14:textId="1771DCC8" w:rsidR="00BE0DEA" w:rsidRDefault="00BE0DEA" w:rsidP="00602E01">
            <w:pPr>
              <w:spacing w:before="120" w:after="120"/>
              <w:ind w:left="43"/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FF"/>
          </w:tcPr>
          <w:p w14:paraId="79788A77" w14:textId="553EBD5E" w:rsidR="00BE0DEA" w:rsidRDefault="000E162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51"/>
              <w:rPr>
                <w:sz w:val="20"/>
                <w:szCs w:val="20"/>
              </w:rPr>
            </w:pPr>
            <w:r w:rsidRPr="000E1622">
              <w:rPr>
                <w:sz w:val="20"/>
                <w:szCs w:val="20"/>
              </w:rPr>
              <w:t>The script for Module 8 (JVSG) is complete. Awaiting procurement issue resolution before the actual training is completed in Captivate.</w:t>
            </w:r>
          </w:p>
        </w:tc>
        <w:tc>
          <w:tcPr>
            <w:tcW w:w="2958" w:type="dxa"/>
            <w:shd w:val="clear" w:color="auto" w:fill="FFFFFF"/>
          </w:tcPr>
          <w:p w14:paraId="5BCB96A0" w14:textId="4205F87B" w:rsidR="00BE0DEA" w:rsidRDefault="000E1622" w:rsidP="000E1622">
            <w:pPr>
              <w:numPr>
                <w:ilvl w:val="0"/>
                <w:numId w:val="4"/>
              </w:numPr>
              <w:spacing w:after="120"/>
              <w:rPr>
                <w:sz w:val="20"/>
                <w:szCs w:val="20"/>
              </w:rPr>
            </w:pPr>
            <w:r w:rsidRPr="000E1622">
              <w:rPr>
                <w:sz w:val="20"/>
                <w:szCs w:val="20"/>
              </w:rPr>
              <w:t>In order to initiate SNAP E&amp;T Integration, we first need to know what processes and procedures are in place. Is there a universal referral process for partners? If so, where is this information? If not, should that be the goal?</w:t>
            </w:r>
          </w:p>
        </w:tc>
        <w:tc>
          <w:tcPr>
            <w:tcW w:w="2880" w:type="dxa"/>
            <w:shd w:val="clear" w:color="auto" w:fill="FFFFFF"/>
          </w:tcPr>
          <w:p w14:paraId="2C5E5E7B" w14:textId="77777777" w:rsidR="00BE0DEA" w:rsidRDefault="00602E0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335" w:type="dxa"/>
            <w:shd w:val="clear" w:color="auto" w:fill="FFFFFF"/>
          </w:tcPr>
          <w:p w14:paraId="3B5B4CCE" w14:textId="77777777" w:rsidR="00BE0DEA" w:rsidRDefault="00602E0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2D6B1F4A" w14:textId="77777777" w:rsidR="00BE0DEA" w:rsidRDefault="00BE0DEA">
      <w:pPr>
        <w:rPr>
          <w:sz w:val="20"/>
          <w:szCs w:val="20"/>
        </w:rPr>
      </w:pPr>
    </w:p>
    <w:sectPr w:rsidR="00BE0DEA">
      <w:footerReference w:type="default" r:id="rId8"/>
      <w:pgSz w:w="15840" w:h="12240" w:orient="landscape"/>
      <w:pgMar w:top="720" w:right="45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D86B" w14:textId="77777777" w:rsidR="002B201F" w:rsidRDefault="002B201F">
      <w:pPr>
        <w:spacing w:after="0" w:line="240" w:lineRule="auto"/>
      </w:pPr>
      <w:r>
        <w:separator/>
      </w:r>
    </w:p>
  </w:endnote>
  <w:endnote w:type="continuationSeparator" w:id="0">
    <w:p w14:paraId="03F0BC49" w14:textId="77777777" w:rsidR="002B201F" w:rsidRDefault="002B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EAA1" w14:textId="59196B26" w:rsidR="00BE0DEA" w:rsidRDefault="00602E0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2C5C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7F7F7F"/>
      </w:rPr>
      <w:t>Page</w:t>
    </w:r>
  </w:p>
  <w:p w14:paraId="78AF1FFD" w14:textId="77777777" w:rsidR="00BE0DEA" w:rsidRDefault="00BE0D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ED9E2" w14:textId="77777777" w:rsidR="002B201F" w:rsidRDefault="002B201F">
      <w:pPr>
        <w:spacing w:after="0" w:line="240" w:lineRule="auto"/>
      </w:pPr>
      <w:r>
        <w:separator/>
      </w:r>
    </w:p>
  </w:footnote>
  <w:footnote w:type="continuationSeparator" w:id="0">
    <w:p w14:paraId="34147A3E" w14:textId="77777777" w:rsidR="002B201F" w:rsidRDefault="002B2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53C"/>
    <w:multiLevelType w:val="hybridMultilevel"/>
    <w:tmpl w:val="792CE8F8"/>
    <w:lvl w:ilvl="0" w:tplc="AC78F570">
      <w:start w:val="1"/>
      <w:numFmt w:val="bullet"/>
      <w:lvlText w:val=""/>
      <w:lvlJc w:val="left"/>
      <w:pPr>
        <w:ind w:left="360" w:hanging="360"/>
      </w:pPr>
      <w:rPr>
        <w:rFonts w:ascii="Symbol" w:hAnsi="Symbol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11479"/>
    <w:multiLevelType w:val="multilevel"/>
    <w:tmpl w:val="2F08A2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502"/>
    <w:multiLevelType w:val="hybridMultilevel"/>
    <w:tmpl w:val="90F6D54A"/>
    <w:lvl w:ilvl="0" w:tplc="94889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BBE"/>
    <w:multiLevelType w:val="multilevel"/>
    <w:tmpl w:val="070CD8D4"/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9E7BFF"/>
    <w:multiLevelType w:val="multilevel"/>
    <w:tmpl w:val="6BD8B42C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8F500C"/>
    <w:multiLevelType w:val="hybridMultilevel"/>
    <w:tmpl w:val="AF2CC026"/>
    <w:lvl w:ilvl="0" w:tplc="ED86E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325CE6"/>
    <w:multiLevelType w:val="multilevel"/>
    <w:tmpl w:val="412CC208"/>
    <w:lvl w:ilvl="0">
      <w:start w:val="1"/>
      <w:numFmt w:val="bullet"/>
      <w:lvlText w:val="●"/>
      <w:lvlJc w:val="left"/>
      <w:pPr>
        <w:ind w:left="9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1" w:hanging="360"/>
      </w:pPr>
      <w:rPr>
        <w:rFonts w:ascii="Noto Sans Symbols" w:eastAsia="Noto Sans Symbols" w:hAnsi="Noto Sans Symbols" w:cs="Noto Sans Symbols"/>
      </w:rPr>
    </w:lvl>
  </w:abstractNum>
  <w:num w:numId="1" w16cid:durableId="82344106">
    <w:abstractNumId w:val="1"/>
  </w:num>
  <w:num w:numId="2" w16cid:durableId="1968772855">
    <w:abstractNumId w:val="3"/>
  </w:num>
  <w:num w:numId="3" w16cid:durableId="1390617299">
    <w:abstractNumId w:val="6"/>
  </w:num>
  <w:num w:numId="4" w16cid:durableId="778643581">
    <w:abstractNumId w:val="4"/>
  </w:num>
  <w:num w:numId="5" w16cid:durableId="1849827314">
    <w:abstractNumId w:val="0"/>
  </w:num>
  <w:num w:numId="6" w16cid:durableId="1025516619">
    <w:abstractNumId w:val="2"/>
  </w:num>
  <w:num w:numId="7" w16cid:durableId="47271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EA"/>
    <w:rsid w:val="000D18FF"/>
    <w:rsid w:val="000E1622"/>
    <w:rsid w:val="00224B53"/>
    <w:rsid w:val="002B201F"/>
    <w:rsid w:val="0054711B"/>
    <w:rsid w:val="00602E01"/>
    <w:rsid w:val="00910F89"/>
    <w:rsid w:val="009D1F33"/>
    <w:rsid w:val="00B02BDD"/>
    <w:rsid w:val="00BB69CD"/>
    <w:rsid w:val="00BE0DEA"/>
    <w:rsid w:val="00CA058A"/>
    <w:rsid w:val="00E3208F"/>
    <w:rsid w:val="00E8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28E1"/>
  <w15:docId w15:val="{8D1BDABC-9560-4C85-913E-562F0C3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EA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0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4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D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8A"/>
  </w:style>
  <w:style w:type="paragraph" w:styleId="Footer">
    <w:name w:val="footer"/>
    <w:basedOn w:val="Normal"/>
    <w:link w:val="FooterChar"/>
    <w:uiPriority w:val="99"/>
    <w:unhideWhenUsed/>
    <w:rsid w:val="00D6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8A"/>
  </w:style>
  <w:style w:type="character" w:styleId="Hyperlink">
    <w:name w:val="Hyperlink"/>
    <w:basedOn w:val="DefaultParagraphFont"/>
    <w:uiPriority w:val="99"/>
    <w:unhideWhenUsed/>
    <w:rsid w:val="00A328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40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Nb6zbDPp1yfkkX/bZUMFE8TcQ==">AMUW2mV8xtq0Iy2k/FFMoQyhI+ir/sYR+fy16NPThQXTdWCCeh0nxrvOlQ9opE0tQfQBW3lTAkabbge0PpyNPcyy6gJu8B9oCNc+T6J8UBKyh3VIZhZa6R3sOtpPolf8oPZnPth9i0/w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K. Taylor</dc:creator>
  <cp:lastModifiedBy>Lili K. Taylor</cp:lastModifiedBy>
  <cp:revision>2</cp:revision>
  <dcterms:created xsi:type="dcterms:W3CDTF">2023-01-30T15:40:00Z</dcterms:created>
  <dcterms:modified xsi:type="dcterms:W3CDTF">2023-01-30T15:40:00Z</dcterms:modified>
</cp:coreProperties>
</file>