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463CF" w14:textId="7F7E9A15" w:rsidR="009E1DDC" w:rsidRDefault="009E1DDC" w:rsidP="009E1DDC">
      <w:pPr>
        <w:jc w:val="right"/>
        <w:rPr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inline distT="0" distB="0" distL="0" distR="0" wp14:anchorId="36EA14E9" wp14:editId="57D84744">
            <wp:extent cx="4543425" cy="1419225"/>
            <wp:effectExtent l="0" t="0" r="9525" b="9525"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03" r="5989" b="6913"/>
                    <a:stretch/>
                  </pic:blipFill>
                  <pic:spPr bwMode="auto">
                    <a:xfrm>
                      <a:off x="0" y="0"/>
                      <a:ext cx="4543627" cy="14192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775891" w14:textId="7911D13B" w:rsidR="00AC44C8" w:rsidRPr="001307CC" w:rsidRDefault="00AB5AA0" w:rsidP="00C9534F">
      <w:pPr>
        <w:jc w:val="right"/>
        <w:rPr>
          <w:b/>
          <w:bCs/>
          <w:sz w:val="72"/>
          <w:szCs w:val="72"/>
        </w:rPr>
      </w:pPr>
      <w:r w:rsidRPr="001307CC">
        <w:rPr>
          <w:b/>
          <w:bCs/>
          <w:sz w:val="72"/>
          <w:szCs w:val="72"/>
        </w:rPr>
        <w:t>Newsletter</w:t>
      </w:r>
    </w:p>
    <w:p w14:paraId="1F84EDAE" w14:textId="77777777" w:rsidR="00C9534F" w:rsidRPr="001307CC" w:rsidRDefault="00AB5AA0" w:rsidP="00C9534F">
      <w:pPr>
        <w:pBdr>
          <w:bottom w:val="single" w:sz="12" w:space="1" w:color="auto"/>
        </w:pBdr>
        <w:jc w:val="right"/>
        <w:rPr>
          <w:b/>
          <w:bCs/>
          <w:sz w:val="72"/>
          <w:szCs w:val="72"/>
        </w:rPr>
      </w:pPr>
      <w:r w:rsidRPr="001307CC">
        <w:rPr>
          <w:b/>
          <w:bCs/>
          <w:sz w:val="72"/>
          <w:szCs w:val="72"/>
        </w:rPr>
        <w:t>Data Analysis</w:t>
      </w:r>
    </w:p>
    <w:p w14:paraId="1CB51108" w14:textId="44E9F7AB" w:rsidR="00AB5AA0" w:rsidRPr="009E1DDC" w:rsidRDefault="00AB5AA0" w:rsidP="00C9534F">
      <w:pPr>
        <w:jc w:val="right"/>
        <w:rPr>
          <w:sz w:val="44"/>
          <w:szCs w:val="44"/>
        </w:rPr>
      </w:pPr>
      <w:r w:rsidRPr="009E1DDC">
        <w:rPr>
          <w:sz w:val="44"/>
          <w:szCs w:val="44"/>
        </w:rPr>
        <w:t>2022</w:t>
      </w:r>
    </w:p>
    <w:p w14:paraId="6E8F7D31" w14:textId="3C666FDC" w:rsidR="00AB5AA0" w:rsidRPr="00C9534F" w:rsidRDefault="00667FF6" w:rsidP="00FB5E1A">
      <w:pPr>
        <w:rPr>
          <w:sz w:val="72"/>
          <w:szCs w:val="72"/>
        </w:rPr>
      </w:pPr>
      <w:r>
        <w:rPr>
          <w:i/>
          <w:iCs/>
          <w:sz w:val="32"/>
          <w:szCs w:val="32"/>
        </w:rPr>
        <w:br w:type="page"/>
      </w:r>
    </w:p>
    <w:sdt>
      <w:sdtPr>
        <w:rPr>
          <w:rFonts w:ascii="Garamond" w:eastAsiaTheme="minorHAnsi" w:hAnsi="Garamond" w:cstheme="minorBidi"/>
          <w:b/>
          <w:bCs/>
          <w:color w:val="auto"/>
          <w:sz w:val="22"/>
          <w:szCs w:val="22"/>
        </w:rPr>
        <w:id w:val="-104945747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E5C3782" w14:textId="21FBC737" w:rsidR="00667FF6" w:rsidRPr="003D1D46" w:rsidRDefault="00667FF6" w:rsidP="00667FF6">
          <w:pPr>
            <w:pStyle w:val="TOCHeading"/>
            <w:jc w:val="center"/>
            <w:rPr>
              <w:rFonts w:ascii="Garamond" w:hAnsi="Garamond"/>
              <w:b/>
              <w:bCs/>
            </w:rPr>
          </w:pPr>
          <w:r w:rsidRPr="003D1D46">
            <w:rPr>
              <w:rFonts w:ascii="Garamond" w:hAnsi="Garamond"/>
              <w:b/>
              <w:bCs/>
            </w:rPr>
            <w:t>Table of Contents</w:t>
          </w:r>
        </w:p>
        <w:p w14:paraId="2D4411CB" w14:textId="665C54D1" w:rsidR="003D1D46" w:rsidRDefault="00667FF6">
          <w:pPr>
            <w:pStyle w:val="TOC1"/>
            <w:tabs>
              <w:tab w:val="right" w:leader="dot" w:pos="9170"/>
            </w:tabs>
            <w:rPr>
              <w:rFonts w:eastAsiaTheme="minorEastAsia"/>
              <w:noProof/>
            </w:rPr>
          </w:pPr>
          <w:r w:rsidRPr="003D1D46">
            <w:rPr>
              <w:rFonts w:ascii="Garamond" w:hAnsi="Garamond"/>
            </w:rPr>
            <w:fldChar w:fldCharType="begin"/>
          </w:r>
          <w:r w:rsidRPr="003D1D46">
            <w:rPr>
              <w:rFonts w:ascii="Garamond" w:hAnsi="Garamond"/>
            </w:rPr>
            <w:instrText xml:space="preserve"> TOC \o "1-3" \h \z \u </w:instrText>
          </w:r>
          <w:r w:rsidRPr="003D1D46">
            <w:rPr>
              <w:rFonts w:ascii="Garamond" w:hAnsi="Garamond"/>
            </w:rPr>
            <w:fldChar w:fldCharType="separate"/>
          </w:r>
          <w:hyperlink w:anchor="_Toc122343247" w:history="1">
            <w:r w:rsidR="003D1D46" w:rsidRPr="00905F3E">
              <w:rPr>
                <w:rStyle w:val="Hyperlink"/>
                <w:rFonts w:ascii="Garamond" w:hAnsi="Garamond"/>
                <w:noProof/>
              </w:rPr>
              <w:t>General Information</w:t>
            </w:r>
            <w:r w:rsidR="003D1D46">
              <w:rPr>
                <w:noProof/>
                <w:webHidden/>
              </w:rPr>
              <w:tab/>
            </w:r>
            <w:r w:rsidR="003D1D46">
              <w:rPr>
                <w:noProof/>
                <w:webHidden/>
              </w:rPr>
              <w:fldChar w:fldCharType="begin"/>
            </w:r>
            <w:r w:rsidR="003D1D46">
              <w:rPr>
                <w:noProof/>
                <w:webHidden/>
              </w:rPr>
              <w:instrText xml:space="preserve"> PAGEREF _Toc122343247 \h </w:instrText>
            </w:r>
            <w:r w:rsidR="003D1D46">
              <w:rPr>
                <w:noProof/>
                <w:webHidden/>
              </w:rPr>
            </w:r>
            <w:r w:rsidR="003D1D46">
              <w:rPr>
                <w:noProof/>
                <w:webHidden/>
              </w:rPr>
              <w:fldChar w:fldCharType="separate"/>
            </w:r>
            <w:r w:rsidR="003D1D46">
              <w:rPr>
                <w:noProof/>
                <w:webHidden/>
              </w:rPr>
              <w:t>3</w:t>
            </w:r>
            <w:r w:rsidR="003D1D46">
              <w:rPr>
                <w:noProof/>
                <w:webHidden/>
              </w:rPr>
              <w:fldChar w:fldCharType="end"/>
            </w:r>
          </w:hyperlink>
        </w:p>
        <w:p w14:paraId="276B7210" w14:textId="6C7BB4EE" w:rsidR="003D1D46" w:rsidRDefault="00000000">
          <w:pPr>
            <w:pStyle w:val="TOC1"/>
            <w:tabs>
              <w:tab w:val="right" w:leader="dot" w:pos="9170"/>
            </w:tabs>
            <w:rPr>
              <w:rFonts w:eastAsiaTheme="minorEastAsia"/>
              <w:noProof/>
            </w:rPr>
          </w:pPr>
          <w:hyperlink w:anchor="_Toc122343248" w:history="1">
            <w:r w:rsidR="003D1D46" w:rsidRPr="00905F3E">
              <w:rPr>
                <w:rStyle w:val="Hyperlink"/>
                <w:rFonts w:ascii="Garamond" w:hAnsi="Garamond"/>
                <w:noProof/>
              </w:rPr>
              <w:t>Unique Open Rate</w:t>
            </w:r>
            <w:r w:rsidR="003D1D46">
              <w:rPr>
                <w:noProof/>
                <w:webHidden/>
              </w:rPr>
              <w:tab/>
            </w:r>
            <w:r w:rsidR="003D1D46">
              <w:rPr>
                <w:noProof/>
                <w:webHidden/>
              </w:rPr>
              <w:fldChar w:fldCharType="begin"/>
            </w:r>
            <w:r w:rsidR="003D1D46">
              <w:rPr>
                <w:noProof/>
                <w:webHidden/>
              </w:rPr>
              <w:instrText xml:space="preserve"> PAGEREF _Toc122343248 \h </w:instrText>
            </w:r>
            <w:r w:rsidR="003D1D46">
              <w:rPr>
                <w:noProof/>
                <w:webHidden/>
              </w:rPr>
            </w:r>
            <w:r w:rsidR="003D1D46">
              <w:rPr>
                <w:noProof/>
                <w:webHidden/>
              </w:rPr>
              <w:fldChar w:fldCharType="separate"/>
            </w:r>
            <w:r w:rsidR="003D1D46">
              <w:rPr>
                <w:noProof/>
                <w:webHidden/>
              </w:rPr>
              <w:t>3</w:t>
            </w:r>
            <w:r w:rsidR="003D1D46">
              <w:rPr>
                <w:noProof/>
                <w:webHidden/>
              </w:rPr>
              <w:fldChar w:fldCharType="end"/>
            </w:r>
          </w:hyperlink>
        </w:p>
        <w:p w14:paraId="60039711" w14:textId="7690CC43" w:rsidR="003D1D46" w:rsidRDefault="00000000">
          <w:pPr>
            <w:pStyle w:val="TOC1"/>
            <w:tabs>
              <w:tab w:val="right" w:leader="dot" w:pos="9170"/>
            </w:tabs>
            <w:rPr>
              <w:rFonts w:eastAsiaTheme="minorEastAsia"/>
              <w:noProof/>
            </w:rPr>
          </w:pPr>
          <w:hyperlink w:anchor="_Toc122343249" w:history="1">
            <w:r w:rsidR="003D1D46" w:rsidRPr="00905F3E">
              <w:rPr>
                <w:rStyle w:val="Hyperlink"/>
                <w:rFonts w:ascii="Garamond" w:hAnsi="Garamond" w:cs="Arial"/>
                <w:noProof/>
              </w:rPr>
              <w:t>Total Recipients</w:t>
            </w:r>
            <w:r w:rsidR="003D1D46">
              <w:rPr>
                <w:noProof/>
                <w:webHidden/>
              </w:rPr>
              <w:tab/>
            </w:r>
            <w:r w:rsidR="003D1D46">
              <w:rPr>
                <w:noProof/>
                <w:webHidden/>
              </w:rPr>
              <w:fldChar w:fldCharType="begin"/>
            </w:r>
            <w:r w:rsidR="003D1D46">
              <w:rPr>
                <w:noProof/>
                <w:webHidden/>
              </w:rPr>
              <w:instrText xml:space="preserve"> PAGEREF _Toc122343249 \h </w:instrText>
            </w:r>
            <w:r w:rsidR="003D1D46">
              <w:rPr>
                <w:noProof/>
                <w:webHidden/>
              </w:rPr>
            </w:r>
            <w:r w:rsidR="003D1D46">
              <w:rPr>
                <w:noProof/>
                <w:webHidden/>
              </w:rPr>
              <w:fldChar w:fldCharType="separate"/>
            </w:r>
            <w:r w:rsidR="003D1D46">
              <w:rPr>
                <w:noProof/>
                <w:webHidden/>
              </w:rPr>
              <w:t>4</w:t>
            </w:r>
            <w:r w:rsidR="003D1D46">
              <w:rPr>
                <w:noProof/>
                <w:webHidden/>
              </w:rPr>
              <w:fldChar w:fldCharType="end"/>
            </w:r>
          </w:hyperlink>
        </w:p>
        <w:p w14:paraId="04C75D6B" w14:textId="054EAD27" w:rsidR="003D1D46" w:rsidRDefault="00000000">
          <w:pPr>
            <w:pStyle w:val="TOC1"/>
            <w:tabs>
              <w:tab w:val="right" w:leader="dot" w:pos="9170"/>
            </w:tabs>
            <w:rPr>
              <w:rFonts w:eastAsiaTheme="minorEastAsia"/>
              <w:noProof/>
            </w:rPr>
          </w:pPr>
          <w:hyperlink w:anchor="_Toc122343250" w:history="1">
            <w:r w:rsidR="003D1D46" w:rsidRPr="00905F3E">
              <w:rPr>
                <w:rStyle w:val="Hyperlink"/>
                <w:rFonts w:ascii="Garamond" w:hAnsi="Garamond"/>
                <w:noProof/>
              </w:rPr>
              <w:t>Featured Topics</w:t>
            </w:r>
            <w:r w:rsidR="003D1D46">
              <w:rPr>
                <w:noProof/>
                <w:webHidden/>
              </w:rPr>
              <w:tab/>
            </w:r>
            <w:r w:rsidR="003D1D46">
              <w:rPr>
                <w:noProof/>
                <w:webHidden/>
              </w:rPr>
              <w:fldChar w:fldCharType="begin"/>
            </w:r>
            <w:r w:rsidR="003D1D46">
              <w:rPr>
                <w:noProof/>
                <w:webHidden/>
              </w:rPr>
              <w:instrText xml:space="preserve"> PAGEREF _Toc122343250 \h </w:instrText>
            </w:r>
            <w:r w:rsidR="003D1D46">
              <w:rPr>
                <w:noProof/>
                <w:webHidden/>
              </w:rPr>
            </w:r>
            <w:r w:rsidR="003D1D46">
              <w:rPr>
                <w:noProof/>
                <w:webHidden/>
              </w:rPr>
              <w:fldChar w:fldCharType="separate"/>
            </w:r>
            <w:r w:rsidR="003D1D46">
              <w:rPr>
                <w:noProof/>
                <w:webHidden/>
              </w:rPr>
              <w:t>5</w:t>
            </w:r>
            <w:r w:rsidR="003D1D46">
              <w:rPr>
                <w:noProof/>
                <w:webHidden/>
              </w:rPr>
              <w:fldChar w:fldCharType="end"/>
            </w:r>
          </w:hyperlink>
        </w:p>
        <w:p w14:paraId="6F57771C" w14:textId="07BB7865" w:rsidR="003D1D46" w:rsidRDefault="00000000">
          <w:pPr>
            <w:pStyle w:val="TOC1"/>
            <w:tabs>
              <w:tab w:val="right" w:leader="dot" w:pos="9170"/>
            </w:tabs>
            <w:rPr>
              <w:rFonts w:eastAsiaTheme="minorEastAsia"/>
              <w:noProof/>
            </w:rPr>
          </w:pPr>
          <w:hyperlink w:anchor="_Toc122343251" w:history="1">
            <w:r w:rsidR="003D1D46" w:rsidRPr="00905F3E">
              <w:rPr>
                <w:rStyle w:val="Hyperlink"/>
                <w:noProof/>
              </w:rPr>
              <w:t>Appendix</w:t>
            </w:r>
            <w:r w:rsidR="003D1D46">
              <w:rPr>
                <w:noProof/>
                <w:webHidden/>
              </w:rPr>
              <w:tab/>
            </w:r>
            <w:r w:rsidR="003D1D46">
              <w:rPr>
                <w:noProof/>
                <w:webHidden/>
              </w:rPr>
              <w:fldChar w:fldCharType="begin"/>
            </w:r>
            <w:r w:rsidR="003D1D46">
              <w:rPr>
                <w:noProof/>
                <w:webHidden/>
              </w:rPr>
              <w:instrText xml:space="preserve"> PAGEREF _Toc122343251 \h </w:instrText>
            </w:r>
            <w:r w:rsidR="003D1D46">
              <w:rPr>
                <w:noProof/>
                <w:webHidden/>
              </w:rPr>
            </w:r>
            <w:r w:rsidR="003D1D46">
              <w:rPr>
                <w:noProof/>
                <w:webHidden/>
              </w:rPr>
              <w:fldChar w:fldCharType="separate"/>
            </w:r>
            <w:r w:rsidR="003D1D46">
              <w:rPr>
                <w:noProof/>
                <w:webHidden/>
              </w:rPr>
              <w:t>6</w:t>
            </w:r>
            <w:r w:rsidR="003D1D46">
              <w:rPr>
                <w:noProof/>
                <w:webHidden/>
              </w:rPr>
              <w:fldChar w:fldCharType="end"/>
            </w:r>
          </w:hyperlink>
        </w:p>
        <w:p w14:paraId="42CA47E6" w14:textId="09815194" w:rsidR="00667FF6" w:rsidRPr="003D1D46" w:rsidRDefault="00667FF6">
          <w:pPr>
            <w:rPr>
              <w:rFonts w:ascii="Garamond" w:hAnsi="Garamond"/>
            </w:rPr>
          </w:pPr>
          <w:r w:rsidRPr="003D1D46">
            <w:rPr>
              <w:rFonts w:ascii="Garamond" w:hAnsi="Garamond"/>
              <w:b/>
              <w:bCs/>
              <w:noProof/>
            </w:rPr>
            <w:fldChar w:fldCharType="end"/>
          </w:r>
        </w:p>
      </w:sdtContent>
    </w:sdt>
    <w:p w14:paraId="113C5010" w14:textId="51D838D6" w:rsidR="00667FF6" w:rsidRPr="003D1D46" w:rsidRDefault="00667FF6">
      <w:pPr>
        <w:rPr>
          <w:rFonts w:ascii="Garamond" w:eastAsiaTheme="majorEastAsia" w:hAnsi="Garamond" w:cstheme="majorBidi"/>
          <w:color w:val="2F5496" w:themeColor="accent1" w:themeShade="BF"/>
        </w:rPr>
      </w:pPr>
      <w:r w:rsidRPr="003D1D46">
        <w:rPr>
          <w:rFonts w:ascii="Garamond" w:hAnsi="Garamond"/>
        </w:rPr>
        <w:br w:type="page"/>
      </w:r>
    </w:p>
    <w:p w14:paraId="7020D1CD" w14:textId="0766E3C2" w:rsidR="00845CC8" w:rsidRPr="00FB19DE" w:rsidRDefault="00E95482" w:rsidP="000B4B01">
      <w:pPr>
        <w:pStyle w:val="Heading1"/>
        <w:spacing w:before="120" w:after="240"/>
        <w:rPr>
          <w:rFonts w:ascii="Garamond" w:hAnsi="Garamond"/>
        </w:rPr>
      </w:pPr>
      <w:bookmarkStart w:id="0" w:name="_Toc122343247"/>
      <w:r w:rsidRPr="00FB19DE">
        <w:rPr>
          <w:rFonts w:ascii="Garamond" w:hAnsi="Garamond"/>
        </w:rPr>
        <w:lastRenderedPageBreak/>
        <w:t>General Information</w:t>
      </w:r>
      <w:bookmarkEnd w:id="0"/>
    </w:p>
    <w:p w14:paraId="76A54F2F" w14:textId="4CBEB193" w:rsidR="00682694" w:rsidRDefault="00682694" w:rsidP="00C00FE2">
      <w:pPr>
        <w:rPr>
          <w:rFonts w:ascii="Garamond" w:hAnsi="Garamond"/>
        </w:rPr>
      </w:pPr>
      <w:r>
        <w:rPr>
          <w:rFonts w:ascii="Garamond" w:hAnsi="Garamond"/>
        </w:rPr>
        <w:t>The Benchmarks of Success Communications Committee released 10 newsletters in 2022: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1530"/>
        <w:gridCol w:w="1080"/>
        <w:gridCol w:w="1620"/>
        <w:gridCol w:w="1620"/>
      </w:tblGrid>
      <w:tr w:rsidR="00682694" w14:paraId="3C75D6AD" w14:textId="77777777" w:rsidTr="009831C2">
        <w:tc>
          <w:tcPr>
            <w:tcW w:w="1615" w:type="dxa"/>
            <w:shd w:val="clear" w:color="auto" w:fill="D0CECE" w:themeFill="background2" w:themeFillShade="E6"/>
          </w:tcPr>
          <w:p w14:paraId="0A9CC795" w14:textId="71C389AD" w:rsidR="00682694" w:rsidRPr="00682694" w:rsidRDefault="00682694" w:rsidP="00682694">
            <w:pPr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</w:rPr>
            </w:pPr>
            <w:r w:rsidRPr="00682694"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</w:rPr>
              <w:t>Issue Number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14:paraId="3BA14904" w14:textId="3F0F7D69" w:rsidR="00682694" w:rsidRPr="00682694" w:rsidRDefault="00682694" w:rsidP="00682694">
            <w:pPr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</w:rPr>
            </w:pPr>
            <w:r w:rsidRPr="00682694"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</w:rPr>
              <w:t>Release Date</w:t>
            </w:r>
          </w:p>
        </w:tc>
        <w:tc>
          <w:tcPr>
            <w:tcW w:w="1080" w:type="dxa"/>
          </w:tcPr>
          <w:p w14:paraId="4164747D" w14:textId="77777777" w:rsidR="00682694" w:rsidRDefault="00682694" w:rsidP="00682694">
            <w:pPr>
              <w:rPr>
                <w:rFonts w:ascii="Garamond" w:eastAsia="Times New Roman" w:hAnsi="Garamond" w:cs="Calibri"/>
                <w:color w:val="000000"/>
              </w:rPr>
            </w:pPr>
          </w:p>
        </w:tc>
        <w:tc>
          <w:tcPr>
            <w:tcW w:w="1620" w:type="dxa"/>
            <w:shd w:val="clear" w:color="auto" w:fill="D0CECE" w:themeFill="background2" w:themeFillShade="E6"/>
          </w:tcPr>
          <w:p w14:paraId="357AE689" w14:textId="798057A6" w:rsidR="00682694" w:rsidRDefault="00682694" w:rsidP="00682694">
            <w:pPr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682694"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</w:rPr>
              <w:t>Issue Number</w:t>
            </w:r>
          </w:p>
        </w:tc>
        <w:tc>
          <w:tcPr>
            <w:tcW w:w="1620" w:type="dxa"/>
            <w:shd w:val="clear" w:color="auto" w:fill="D0CECE" w:themeFill="background2" w:themeFillShade="E6"/>
          </w:tcPr>
          <w:p w14:paraId="46EAE591" w14:textId="4BAF8120" w:rsidR="00682694" w:rsidRDefault="00682694" w:rsidP="009831C2">
            <w:pPr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682694"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</w:rPr>
              <w:t>Release Date</w:t>
            </w:r>
          </w:p>
        </w:tc>
      </w:tr>
      <w:tr w:rsidR="00682694" w14:paraId="5AA299C8" w14:textId="77777777" w:rsidTr="009831C2">
        <w:tc>
          <w:tcPr>
            <w:tcW w:w="1615" w:type="dxa"/>
          </w:tcPr>
          <w:p w14:paraId="0FB96D03" w14:textId="69247598" w:rsidR="00682694" w:rsidRPr="009831C2" w:rsidRDefault="00682694" w:rsidP="006826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</w:rPr>
            </w:pPr>
            <w:r w:rsidRPr="009831C2">
              <w:rPr>
                <w:rFonts w:ascii="Garamond" w:eastAsia="Times New Roman" w:hAnsi="Garamond" w:cs="Calibri"/>
                <w:b/>
                <w:bCs/>
                <w:color w:val="000000"/>
              </w:rPr>
              <w:t>#32</w:t>
            </w:r>
          </w:p>
        </w:tc>
        <w:tc>
          <w:tcPr>
            <w:tcW w:w="1530" w:type="dxa"/>
          </w:tcPr>
          <w:p w14:paraId="5797CE7A" w14:textId="480EA760" w:rsidR="00682694" w:rsidRDefault="00682694" w:rsidP="00682694">
            <w:pPr>
              <w:jc w:val="center"/>
              <w:rPr>
                <w:rFonts w:ascii="Garamond" w:eastAsia="Times New Roman" w:hAnsi="Garamond" w:cs="Calibri"/>
                <w:color w:val="000000"/>
              </w:rPr>
            </w:pPr>
            <w:r>
              <w:rPr>
                <w:rFonts w:ascii="Garamond" w:eastAsia="Times New Roman" w:hAnsi="Garamond" w:cs="Calibri"/>
                <w:color w:val="000000"/>
              </w:rPr>
              <w:t>1/25</w:t>
            </w:r>
          </w:p>
        </w:tc>
        <w:tc>
          <w:tcPr>
            <w:tcW w:w="1080" w:type="dxa"/>
          </w:tcPr>
          <w:p w14:paraId="091AFBD9" w14:textId="77777777" w:rsidR="00682694" w:rsidRDefault="00682694" w:rsidP="00682694">
            <w:pPr>
              <w:rPr>
                <w:rFonts w:ascii="Garamond" w:eastAsia="Times New Roman" w:hAnsi="Garamond" w:cs="Calibri"/>
                <w:color w:val="000000"/>
              </w:rPr>
            </w:pPr>
          </w:p>
        </w:tc>
        <w:tc>
          <w:tcPr>
            <w:tcW w:w="1620" w:type="dxa"/>
          </w:tcPr>
          <w:p w14:paraId="75D8F59C" w14:textId="26F9925A" w:rsidR="00682694" w:rsidRPr="009831C2" w:rsidRDefault="00682694" w:rsidP="006826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</w:rPr>
            </w:pPr>
            <w:r w:rsidRPr="009831C2">
              <w:rPr>
                <w:rFonts w:ascii="Garamond" w:eastAsia="Times New Roman" w:hAnsi="Garamond" w:cs="Calibri"/>
                <w:b/>
                <w:bCs/>
                <w:color w:val="000000"/>
              </w:rPr>
              <w:t xml:space="preserve">#37 </w:t>
            </w:r>
          </w:p>
        </w:tc>
        <w:tc>
          <w:tcPr>
            <w:tcW w:w="1620" w:type="dxa"/>
          </w:tcPr>
          <w:p w14:paraId="1F5352F7" w14:textId="65FBF43A" w:rsidR="00682694" w:rsidRDefault="00682694" w:rsidP="009831C2">
            <w:pPr>
              <w:jc w:val="center"/>
              <w:rPr>
                <w:rFonts w:ascii="Garamond" w:eastAsia="Times New Roman" w:hAnsi="Garamond" w:cs="Calibri"/>
                <w:color w:val="000000"/>
              </w:rPr>
            </w:pPr>
            <w:r>
              <w:rPr>
                <w:rFonts w:ascii="Garamond" w:eastAsia="Times New Roman" w:hAnsi="Garamond" w:cs="Calibri"/>
                <w:color w:val="000000"/>
              </w:rPr>
              <w:t>7/5</w:t>
            </w:r>
          </w:p>
        </w:tc>
      </w:tr>
      <w:tr w:rsidR="00682694" w14:paraId="26BC3863" w14:textId="77777777" w:rsidTr="009831C2">
        <w:tc>
          <w:tcPr>
            <w:tcW w:w="1615" w:type="dxa"/>
          </w:tcPr>
          <w:p w14:paraId="2AF27582" w14:textId="61BDB0F0" w:rsidR="00682694" w:rsidRPr="009831C2" w:rsidRDefault="00682694" w:rsidP="006826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</w:rPr>
            </w:pPr>
            <w:r w:rsidRPr="009831C2">
              <w:rPr>
                <w:rFonts w:ascii="Garamond" w:eastAsia="Times New Roman" w:hAnsi="Garamond" w:cs="Calibri"/>
                <w:b/>
                <w:bCs/>
                <w:color w:val="000000"/>
              </w:rPr>
              <w:t>#33</w:t>
            </w:r>
          </w:p>
        </w:tc>
        <w:tc>
          <w:tcPr>
            <w:tcW w:w="1530" w:type="dxa"/>
          </w:tcPr>
          <w:p w14:paraId="3292CCA0" w14:textId="079B0087" w:rsidR="00682694" w:rsidRDefault="00682694" w:rsidP="00682694">
            <w:pPr>
              <w:jc w:val="center"/>
              <w:rPr>
                <w:rFonts w:ascii="Garamond" w:eastAsia="Times New Roman" w:hAnsi="Garamond" w:cs="Calibri"/>
                <w:color w:val="000000"/>
              </w:rPr>
            </w:pPr>
            <w:r>
              <w:rPr>
                <w:rFonts w:ascii="Garamond" w:eastAsia="Times New Roman" w:hAnsi="Garamond" w:cs="Calibri"/>
                <w:color w:val="000000"/>
              </w:rPr>
              <w:t>2/22</w:t>
            </w:r>
          </w:p>
        </w:tc>
        <w:tc>
          <w:tcPr>
            <w:tcW w:w="1080" w:type="dxa"/>
          </w:tcPr>
          <w:p w14:paraId="5AA8B0D5" w14:textId="77777777" w:rsidR="00682694" w:rsidRDefault="00682694" w:rsidP="00682694">
            <w:pPr>
              <w:rPr>
                <w:rFonts w:ascii="Garamond" w:eastAsia="Times New Roman" w:hAnsi="Garamond" w:cs="Calibri"/>
                <w:color w:val="000000"/>
              </w:rPr>
            </w:pPr>
          </w:p>
        </w:tc>
        <w:tc>
          <w:tcPr>
            <w:tcW w:w="1620" w:type="dxa"/>
          </w:tcPr>
          <w:p w14:paraId="44C0EC25" w14:textId="3C4E81EB" w:rsidR="00682694" w:rsidRPr="009831C2" w:rsidRDefault="00682694" w:rsidP="006826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</w:rPr>
            </w:pPr>
            <w:r w:rsidRPr="009831C2">
              <w:rPr>
                <w:rFonts w:ascii="Garamond" w:eastAsia="Times New Roman" w:hAnsi="Garamond" w:cs="Calibri"/>
                <w:b/>
                <w:bCs/>
                <w:color w:val="000000"/>
              </w:rPr>
              <w:t>#38</w:t>
            </w:r>
          </w:p>
        </w:tc>
        <w:tc>
          <w:tcPr>
            <w:tcW w:w="1620" w:type="dxa"/>
          </w:tcPr>
          <w:p w14:paraId="38300F00" w14:textId="39629B89" w:rsidR="00682694" w:rsidRDefault="00682694" w:rsidP="009831C2">
            <w:pPr>
              <w:jc w:val="center"/>
              <w:rPr>
                <w:rFonts w:ascii="Garamond" w:eastAsia="Times New Roman" w:hAnsi="Garamond" w:cs="Calibri"/>
                <w:color w:val="000000"/>
              </w:rPr>
            </w:pPr>
            <w:r>
              <w:rPr>
                <w:rFonts w:ascii="Garamond" w:eastAsia="Times New Roman" w:hAnsi="Garamond" w:cs="Calibri"/>
                <w:color w:val="000000"/>
              </w:rPr>
              <w:t>8/30</w:t>
            </w:r>
          </w:p>
        </w:tc>
      </w:tr>
      <w:tr w:rsidR="00682694" w14:paraId="1E31A297" w14:textId="77777777" w:rsidTr="009831C2">
        <w:tc>
          <w:tcPr>
            <w:tcW w:w="1615" w:type="dxa"/>
          </w:tcPr>
          <w:p w14:paraId="1DCBE916" w14:textId="6C41C9BF" w:rsidR="00682694" w:rsidRPr="009831C2" w:rsidRDefault="00682694" w:rsidP="006826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</w:rPr>
            </w:pPr>
            <w:r w:rsidRPr="009831C2">
              <w:rPr>
                <w:rFonts w:ascii="Garamond" w:eastAsia="Times New Roman" w:hAnsi="Garamond" w:cs="Calibri"/>
                <w:b/>
                <w:bCs/>
                <w:color w:val="000000"/>
              </w:rPr>
              <w:t>#34</w:t>
            </w:r>
          </w:p>
        </w:tc>
        <w:tc>
          <w:tcPr>
            <w:tcW w:w="1530" w:type="dxa"/>
          </w:tcPr>
          <w:p w14:paraId="32B9B088" w14:textId="1FA2DA6D" w:rsidR="00682694" w:rsidRDefault="00682694" w:rsidP="00682694">
            <w:pPr>
              <w:jc w:val="center"/>
              <w:rPr>
                <w:rFonts w:ascii="Garamond" w:eastAsia="Times New Roman" w:hAnsi="Garamond" w:cs="Calibri"/>
                <w:color w:val="000000"/>
              </w:rPr>
            </w:pPr>
            <w:r>
              <w:rPr>
                <w:rFonts w:ascii="Garamond" w:eastAsia="Times New Roman" w:hAnsi="Garamond" w:cs="Calibri"/>
                <w:color w:val="000000"/>
              </w:rPr>
              <w:t>3/29</w:t>
            </w:r>
          </w:p>
        </w:tc>
        <w:tc>
          <w:tcPr>
            <w:tcW w:w="1080" w:type="dxa"/>
          </w:tcPr>
          <w:p w14:paraId="35AA2AC3" w14:textId="77777777" w:rsidR="00682694" w:rsidRDefault="00682694" w:rsidP="00682694">
            <w:pPr>
              <w:rPr>
                <w:rFonts w:ascii="Garamond" w:eastAsia="Times New Roman" w:hAnsi="Garamond" w:cs="Calibri"/>
                <w:color w:val="000000"/>
              </w:rPr>
            </w:pPr>
          </w:p>
        </w:tc>
        <w:tc>
          <w:tcPr>
            <w:tcW w:w="1620" w:type="dxa"/>
          </w:tcPr>
          <w:p w14:paraId="18B62C72" w14:textId="2C251CF6" w:rsidR="00682694" w:rsidRPr="009831C2" w:rsidRDefault="00682694" w:rsidP="006826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</w:rPr>
            </w:pPr>
            <w:r w:rsidRPr="009831C2">
              <w:rPr>
                <w:rFonts w:ascii="Garamond" w:eastAsia="Times New Roman" w:hAnsi="Garamond" w:cs="Calibri"/>
                <w:b/>
                <w:bCs/>
                <w:color w:val="000000"/>
              </w:rPr>
              <w:t>#39</w:t>
            </w:r>
          </w:p>
        </w:tc>
        <w:tc>
          <w:tcPr>
            <w:tcW w:w="1620" w:type="dxa"/>
          </w:tcPr>
          <w:p w14:paraId="1FD3DF7E" w14:textId="3DC32091" w:rsidR="00682694" w:rsidRDefault="00682694" w:rsidP="009831C2">
            <w:pPr>
              <w:jc w:val="center"/>
              <w:rPr>
                <w:rFonts w:ascii="Garamond" w:eastAsia="Times New Roman" w:hAnsi="Garamond" w:cs="Calibri"/>
                <w:color w:val="000000"/>
              </w:rPr>
            </w:pPr>
            <w:r>
              <w:rPr>
                <w:rFonts w:ascii="Garamond" w:eastAsia="Times New Roman" w:hAnsi="Garamond" w:cs="Calibri"/>
                <w:color w:val="000000"/>
              </w:rPr>
              <w:t>9/29</w:t>
            </w:r>
          </w:p>
        </w:tc>
      </w:tr>
      <w:tr w:rsidR="00682694" w14:paraId="6DFE432D" w14:textId="77777777" w:rsidTr="009831C2">
        <w:tc>
          <w:tcPr>
            <w:tcW w:w="1615" w:type="dxa"/>
          </w:tcPr>
          <w:p w14:paraId="71374F12" w14:textId="484CAE0A" w:rsidR="00682694" w:rsidRPr="009831C2" w:rsidRDefault="00682694" w:rsidP="006826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</w:rPr>
            </w:pPr>
            <w:r w:rsidRPr="009831C2">
              <w:rPr>
                <w:rFonts w:ascii="Garamond" w:eastAsia="Times New Roman" w:hAnsi="Garamond" w:cs="Calibri"/>
                <w:b/>
                <w:bCs/>
                <w:color w:val="000000"/>
              </w:rPr>
              <w:t>#35</w:t>
            </w:r>
          </w:p>
        </w:tc>
        <w:tc>
          <w:tcPr>
            <w:tcW w:w="1530" w:type="dxa"/>
          </w:tcPr>
          <w:p w14:paraId="71E16C08" w14:textId="031C5ABD" w:rsidR="00682694" w:rsidRDefault="00682694" w:rsidP="00682694">
            <w:pPr>
              <w:jc w:val="center"/>
              <w:rPr>
                <w:rFonts w:ascii="Garamond" w:eastAsia="Times New Roman" w:hAnsi="Garamond" w:cs="Calibri"/>
                <w:color w:val="000000"/>
              </w:rPr>
            </w:pPr>
            <w:r>
              <w:rPr>
                <w:rFonts w:ascii="Garamond" w:eastAsia="Times New Roman" w:hAnsi="Garamond" w:cs="Calibri"/>
                <w:color w:val="000000"/>
              </w:rPr>
              <w:t>4/26</w:t>
            </w:r>
          </w:p>
        </w:tc>
        <w:tc>
          <w:tcPr>
            <w:tcW w:w="1080" w:type="dxa"/>
          </w:tcPr>
          <w:p w14:paraId="0898792C" w14:textId="77777777" w:rsidR="00682694" w:rsidRDefault="00682694" w:rsidP="00682694">
            <w:pPr>
              <w:rPr>
                <w:rFonts w:ascii="Garamond" w:eastAsia="Times New Roman" w:hAnsi="Garamond" w:cs="Calibri"/>
                <w:color w:val="000000"/>
              </w:rPr>
            </w:pPr>
          </w:p>
        </w:tc>
        <w:tc>
          <w:tcPr>
            <w:tcW w:w="1620" w:type="dxa"/>
          </w:tcPr>
          <w:p w14:paraId="6FFA70E7" w14:textId="06DED951" w:rsidR="00682694" w:rsidRPr="009831C2" w:rsidRDefault="00682694" w:rsidP="006826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</w:rPr>
            </w:pPr>
            <w:r w:rsidRPr="009831C2">
              <w:rPr>
                <w:rFonts w:ascii="Garamond" w:eastAsia="Times New Roman" w:hAnsi="Garamond" w:cs="Calibri"/>
                <w:b/>
                <w:bCs/>
                <w:color w:val="000000"/>
              </w:rPr>
              <w:t>#40</w:t>
            </w:r>
          </w:p>
        </w:tc>
        <w:tc>
          <w:tcPr>
            <w:tcW w:w="1620" w:type="dxa"/>
          </w:tcPr>
          <w:p w14:paraId="75CA53D0" w14:textId="2836AB4E" w:rsidR="00682694" w:rsidRDefault="00682694" w:rsidP="009831C2">
            <w:pPr>
              <w:jc w:val="center"/>
              <w:rPr>
                <w:rFonts w:ascii="Garamond" w:eastAsia="Times New Roman" w:hAnsi="Garamond" w:cs="Calibri"/>
                <w:color w:val="000000"/>
              </w:rPr>
            </w:pPr>
            <w:r>
              <w:rPr>
                <w:rFonts w:ascii="Garamond" w:eastAsia="Times New Roman" w:hAnsi="Garamond" w:cs="Calibri"/>
                <w:color w:val="000000"/>
              </w:rPr>
              <w:t>10/25</w:t>
            </w:r>
          </w:p>
        </w:tc>
      </w:tr>
      <w:tr w:rsidR="00682694" w14:paraId="3D38FBAC" w14:textId="77777777" w:rsidTr="009831C2">
        <w:tc>
          <w:tcPr>
            <w:tcW w:w="1615" w:type="dxa"/>
          </w:tcPr>
          <w:p w14:paraId="6EBE4D2E" w14:textId="092A105D" w:rsidR="00682694" w:rsidRPr="009831C2" w:rsidRDefault="00682694" w:rsidP="006826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</w:rPr>
            </w:pPr>
            <w:r w:rsidRPr="009831C2">
              <w:rPr>
                <w:rFonts w:ascii="Garamond" w:eastAsia="Times New Roman" w:hAnsi="Garamond" w:cs="Calibri"/>
                <w:b/>
                <w:bCs/>
                <w:color w:val="000000"/>
              </w:rPr>
              <w:t>#36</w:t>
            </w:r>
          </w:p>
        </w:tc>
        <w:tc>
          <w:tcPr>
            <w:tcW w:w="1530" w:type="dxa"/>
          </w:tcPr>
          <w:p w14:paraId="15A3C20B" w14:textId="59650D14" w:rsidR="00682694" w:rsidRDefault="00682694" w:rsidP="00682694">
            <w:pPr>
              <w:jc w:val="center"/>
              <w:rPr>
                <w:rFonts w:ascii="Garamond" w:eastAsia="Times New Roman" w:hAnsi="Garamond" w:cs="Calibri"/>
                <w:color w:val="000000"/>
              </w:rPr>
            </w:pPr>
            <w:r>
              <w:rPr>
                <w:rFonts w:ascii="Garamond" w:eastAsia="Times New Roman" w:hAnsi="Garamond" w:cs="Calibri"/>
                <w:color w:val="000000"/>
              </w:rPr>
              <w:t>5/31</w:t>
            </w:r>
          </w:p>
        </w:tc>
        <w:tc>
          <w:tcPr>
            <w:tcW w:w="1080" w:type="dxa"/>
          </w:tcPr>
          <w:p w14:paraId="4657DBDD" w14:textId="77777777" w:rsidR="00682694" w:rsidRDefault="00682694" w:rsidP="00682694">
            <w:pPr>
              <w:rPr>
                <w:rFonts w:ascii="Garamond" w:eastAsia="Times New Roman" w:hAnsi="Garamond" w:cs="Calibri"/>
                <w:color w:val="000000"/>
              </w:rPr>
            </w:pPr>
          </w:p>
        </w:tc>
        <w:tc>
          <w:tcPr>
            <w:tcW w:w="1620" w:type="dxa"/>
          </w:tcPr>
          <w:p w14:paraId="339A8C25" w14:textId="08BB15AE" w:rsidR="00682694" w:rsidRPr="009831C2" w:rsidRDefault="00682694" w:rsidP="006826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</w:rPr>
            </w:pPr>
            <w:r w:rsidRPr="009831C2">
              <w:rPr>
                <w:rFonts w:ascii="Garamond" w:eastAsia="Times New Roman" w:hAnsi="Garamond" w:cs="Calibri"/>
                <w:b/>
                <w:bCs/>
                <w:color w:val="000000"/>
              </w:rPr>
              <w:t>#41</w:t>
            </w:r>
          </w:p>
        </w:tc>
        <w:tc>
          <w:tcPr>
            <w:tcW w:w="1620" w:type="dxa"/>
          </w:tcPr>
          <w:p w14:paraId="4AFF3FA2" w14:textId="13C98354" w:rsidR="00682694" w:rsidRDefault="00682694" w:rsidP="009831C2">
            <w:pPr>
              <w:jc w:val="center"/>
              <w:rPr>
                <w:rFonts w:ascii="Garamond" w:eastAsia="Times New Roman" w:hAnsi="Garamond" w:cs="Calibri"/>
                <w:color w:val="000000"/>
              </w:rPr>
            </w:pPr>
            <w:r>
              <w:rPr>
                <w:rFonts w:ascii="Garamond" w:eastAsia="Times New Roman" w:hAnsi="Garamond" w:cs="Calibri"/>
                <w:color w:val="000000"/>
              </w:rPr>
              <w:t>12/13</w:t>
            </w:r>
          </w:p>
        </w:tc>
      </w:tr>
    </w:tbl>
    <w:p w14:paraId="1F617404" w14:textId="03DDCECF" w:rsidR="00BB0178" w:rsidRPr="00FB19DE" w:rsidRDefault="00BB0178" w:rsidP="00C00FE2">
      <w:pPr>
        <w:rPr>
          <w:rFonts w:ascii="Garamond" w:hAnsi="Garamond"/>
        </w:rPr>
      </w:pPr>
    </w:p>
    <w:p w14:paraId="72966D2E" w14:textId="04529B6A" w:rsidR="00AB5AA0" w:rsidRPr="00FB19DE" w:rsidRDefault="00AB5AA0" w:rsidP="000B4B01">
      <w:pPr>
        <w:pStyle w:val="Heading1"/>
        <w:spacing w:before="120" w:after="240"/>
        <w:rPr>
          <w:rFonts w:ascii="Garamond" w:hAnsi="Garamond"/>
        </w:rPr>
      </w:pPr>
      <w:bookmarkStart w:id="1" w:name="_Toc122343248"/>
      <w:r w:rsidRPr="00FB19DE">
        <w:rPr>
          <w:rFonts w:ascii="Garamond" w:hAnsi="Garamond"/>
        </w:rPr>
        <w:t>Unique Open Rate</w:t>
      </w:r>
      <w:bookmarkEnd w:id="1"/>
    </w:p>
    <w:p w14:paraId="7A73D1FF" w14:textId="77777777" w:rsidR="009831C2" w:rsidRDefault="00E95482" w:rsidP="000B4B01">
      <w:pPr>
        <w:rPr>
          <w:rFonts w:ascii="Garamond" w:hAnsi="Garamond"/>
        </w:rPr>
      </w:pPr>
      <w:r w:rsidRPr="00FB19DE">
        <w:rPr>
          <w:rFonts w:ascii="Garamond" w:hAnsi="Garamond"/>
        </w:rPr>
        <w:t xml:space="preserve">The “Unique Open Rate” is a count of how many distinct viewers opened the newsletter </w:t>
      </w:r>
      <w:r w:rsidRPr="00682694">
        <w:rPr>
          <w:rFonts w:ascii="Garamond" w:hAnsi="Garamond"/>
          <w:u w:val="single"/>
        </w:rPr>
        <w:t>at least once</w:t>
      </w:r>
      <w:r w:rsidRPr="00FB19DE">
        <w:rPr>
          <w:rFonts w:ascii="Garamond" w:hAnsi="Garamond"/>
        </w:rPr>
        <w:t>.</w:t>
      </w:r>
      <w:r w:rsidR="00BB0178" w:rsidRPr="00FB19DE">
        <w:rPr>
          <w:rFonts w:ascii="Garamond" w:hAnsi="Garamond"/>
        </w:rPr>
        <w:t xml:space="preserve"> </w:t>
      </w:r>
      <w:r w:rsidRPr="00FB19DE">
        <w:rPr>
          <w:rFonts w:ascii="Garamond" w:hAnsi="Garamond"/>
        </w:rPr>
        <w:t>The chart below compares</w:t>
      </w:r>
      <w:r w:rsidR="00AB5AA0" w:rsidRPr="00FB19DE">
        <w:rPr>
          <w:rFonts w:ascii="Garamond" w:hAnsi="Garamond"/>
        </w:rPr>
        <w:t xml:space="preserve"> the </w:t>
      </w:r>
      <w:r w:rsidR="001F1558" w:rsidRPr="00FB19DE">
        <w:rPr>
          <w:rFonts w:ascii="Garamond" w:hAnsi="Garamond"/>
        </w:rPr>
        <w:t>Un</w:t>
      </w:r>
      <w:r w:rsidR="00AB5AA0" w:rsidRPr="00FB19DE">
        <w:rPr>
          <w:rFonts w:ascii="Garamond" w:hAnsi="Garamond"/>
        </w:rPr>
        <w:t xml:space="preserve">ique </w:t>
      </w:r>
      <w:r w:rsidR="001F1558" w:rsidRPr="00FB19DE">
        <w:rPr>
          <w:rFonts w:ascii="Garamond" w:hAnsi="Garamond"/>
        </w:rPr>
        <w:t>O</w:t>
      </w:r>
      <w:r w:rsidR="00AB5AA0" w:rsidRPr="00FB19DE">
        <w:rPr>
          <w:rFonts w:ascii="Garamond" w:hAnsi="Garamond"/>
        </w:rPr>
        <w:t xml:space="preserve">pen </w:t>
      </w:r>
      <w:r w:rsidR="001F1558" w:rsidRPr="00FB19DE">
        <w:rPr>
          <w:rFonts w:ascii="Garamond" w:hAnsi="Garamond"/>
        </w:rPr>
        <w:t>R</w:t>
      </w:r>
      <w:r w:rsidR="00AB5AA0" w:rsidRPr="00FB19DE">
        <w:rPr>
          <w:rFonts w:ascii="Garamond" w:hAnsi="Garamond"/>
        </w:rPr>
        <w:t xml:space="preserve">ate for the newsletter for each </w:t>
      </w:r>
      <w:r w:rsidR="009831C2">
        <w:rPr>
          <w:rFonts w:ascii="Garamond" w:hAnsi="Garamond"/>
        </w:rPr>
        <w:t>of the 10 issues released during 2022:</w:t>
      </w:r>
    </w:p>
    <w:p w14:paraId="582B3E4A" w14:textId="38FCBEE6" w:rsidR="009E1DDC" w:rsidRPr="00E95482" w:rsidRDefault="00D203E4" w:rsidP="003E039E">
      <w:pPr>
        <w:jc w:val="center"/>
      </w:pPr>
      <w:r>
        <w:rPr>
          <w:noProof/>
        </w:rPr>
        <w:drawing>
          <wp:inline distT="0" distB="0" distL="0" distR="0" wp14:anchorId="533450A6" wp14:editId="281EBB80">
            <wp:extent cx="5176838" cy="2543175"/>
            <wp:effectExtent l="38100" t="38100" r="100330" b="8572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95C67B7-A5F6-070E-950A-9C7B736D6C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BC459A2" w14:textId="5D71597B" w:rsidR="005271C3" w:rsidRDefault="005271C3" w:rsidP="00FB19DE">
      <w:pPr>
        <w:rPr>
          <w:b/>
          <w:bCs/>
        </w:rPr>
      </w:pPr>
      <w:r>
        <w:t xml:space="preserve">The </w:t>
      </w:r>
      <w:r w:rsidR="00D203E4">
        <w:t xml:space="preserve">average </w:t>
      </w:r>
      <w:r w:rsidR="009831C2">
        <w:t xml:space="preserve">Unique Open Rate </w:t>
      </w:r>
      <w:r>
        <w:t xml:space="preserve">for the 10 issues released during 2022 was </w:t>
      </w:r>
      <w:r w:rsidRPr="005271C3">
        <w:rPr>
          <w:b/>
          <w:bCs/>
        </w:rPr>
        <w:t>2</w:t>
      </w:r>
      <w:r w:rsidR="00D203E4">
        <w:rPr>
          <w:b/>
          <w:bCs/>
        </w:rPr>
        <w:t>5</w:t>
      </w:r>
      <w:r w:rsidRPr="005271C3">
        <w:rPr>
          <w:b/>
          <w:bCs/>
        </w:rPr>
        <w:t>%.</w:t>
      </w:r>
    </w:p>
    <w:p w14:paraId="1E904420" w14:textId="77777777" w:rsidR="009D5815" w:rsidRDefault="009D5815">
      <w:pPr>
        <w:rPr>
          <w:rStyle w:val="Heading1Char"/>
          <w:rFonts w:ascii="Garamond" w:hAnsi="Garamond" w:cs="Arial"/>
        </w:rPr>
      </w:pPr>
      <w:r>
        <w:rPr>
          <w:rStyle w:val="Heading1Char"/>
          <w:rFonts w:ascii="Garamond" w:hAnsi="Garamond" w:cs="Arial"/>
        </w:rPr>
        <w:br w:type="page"/>
      </w:r>
    </w:p>
    <w:p w14:paraId="778D00F2" w14:textId="73264775" w:rsidR="001F1558" w:rsidRPr="00FB19DE" w:rsidRDefault="00FB19DE" w:rsidP="00FB19DE">
      <w:pPr>
        <w:rPr>
          <w:rStyle w:val="Heading1Char"/>
          <w:rFonts w:ascii="Garamond" w:hAnsi="Garamond" w:cs="Arial"/>
        </w:rPr>
      </w:pPr>
      <w:bookmarkStart w:id="2" w:name="_Toc122343249"/>
      <w:r w:rsidRPr="00FB19DE">
        <w:rPr>
          <w:rStyle w:val="Heading1Char"/>
          <w:rFonts w:ascii="Garamond" w:hAnsi="Garamond" w:cs="Arial"/>
        </w:rPr>
        <w:lastRenderedPageBreak/>
        <w:t xml:space="preserve">Total </w:t>
      </w:r>
      <w:r w:rsidR="001F1558" w:rsidRPr="00FB19DE">
        <w:rPr>
          <w:rStyle w:val="Heading1Char"/>
          <w:rFonts w:ascii="Garamond" w:hAnsi="Garamond" w:cs="Arial"/>
        </w:rPr>
        <w:t>Recipients</w:t>
      </w:r>
      <w:bookmarkEnd w:id="2"/>
    </w:p>
    <w:p w14:paraId="7C79214D" w14:textId="11B7E6B4" w:rsidR="009E1DDC" w:rsidRDefault="00E95482" w:rsidP="000B4B01">
      <w:r w:rsidRPr="00E95482">
        <w:t xml:space="preserve">The newsletter is distributed to email addresses using the GovDelivery platform. </w:t>
      </w:r>
      <w:r>
        <w:t>T</w:t>
      </w:r>
      <w:r w:rsidR="001F1558" w:rsidRPr="00E95482">
        <w:t>he</w:t>
      </w:r>
      <w:r w:rsidR="00CB7118">
        <w:t xml:space="preserve"> following table displays the total number of recipients the newsletter was emailed to for each of the ten newsletters issued during 2022.</w:t>
      </w:r>
    </w:p>
    <w:p w14:paraId="22893A10" w14:textId="233FEF47" w:rsidR="00CB7118" w:rsidRDefault="00CB7118" w:rsidP="00CB7118">
      <w:pPr>
        <w:jc w:val="center"/>
      </w:pPr>
      <w:r>
        <w:rPr>
          <w:noProof/>
        </w:rPr>
        <w:drawing>
          <wp:inline distT="0" distB="0" distL="0" distR="0" wp14:anchorId="66CB4325" wp14:editId="2ABE7B34">
            <wp:extent cx="4519613" cy="2686050"/>
            <wp:effectExtent l="38100" t="38100" r="90805" b="9525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320DDA14-BDA7-683F-019A-87165CC4D9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EB1E814" w14:textId="056135AF" w:rsidR="00CB7118" w:rsidRDefault="00A02698" w:rsidP="00CB7118">
      <w:r>
        <w:t xml:space="preserve">The </w:t>
      </w:r>
      <w:r w:rsidR="00CB7118">
        <w:t xml:space="preserve">chart below shows the </w:t>
      </w:r>
      <w:r w:rsidR="00CB7118" w:rsidRPr="00E95482">
        <w:t xml:space="preserve">average number of recipients </w:t>
      </w:r>
      <w:r w:rsidR="00CB7118">
        <w:t xml:space="preserve">the newsletter has been emailed to </w:t>
      </w:r>
      <w:r w:rsidR="00CB7118" w:rsidRPr="00E95482">
        <w:t>each year between 2018 and 2022.</w:t>
      </w:r>
      <w:r w:rsidR="00CB7118">
        <w:t xml:space="preserve"> </w:t>
      </w:r>
    </w:p>
    <w:p w14:paraId="66274A83" w14:textId="07D0EF98" w:rsidR="00CB7118" w:rsidRDefault="00A02698" w:rsidP="00A02698">
      <w:pPr>
        <w:jc w:val="center"/>
      </w:pPr>
      <w:r>
        <w:rPr>
          <w:noProof/>
        </w:rPr>
        <w:drawing>
          <wp:inline distT="0" distB="0" distL="0" distR="0" wp14:anchorId="7584447A" wp14:editId="225619DB">
            <wp:extent cx="4719637" cy="2895283"/>
            <wp:effectExtent l="0" t="0" r="5080" b="635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B16F8772-8CD1-403D-86E6-1F7DFCEF55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64AC3C1" w14:textId="6D448247" w:rsidR="00CB7118" w:rsidRDefault="00CB7118" w:rsidP="000B4B01"/>
    <w:p w14:paraId="46CABD9A" w14:textId="2F9B7250" w:rsidR="009D5815" w:rsidRDefault="009D5815" w:rsidP="00A02698">
      <w:pPr>
        <w:jc w:val="center"/>
        <w:rPr>
          <w:rFonts w:ascii="Garamond" w:eastAsiaTheme="majorEastAsia" w:hAnsi="Garamond" w:cstheme="majorBidi"/>
          <w:color w:val="2F5496" w:themeColor="accent1" w:themeShade="BF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D63A72" wp14:editId="4DBA8E5F">
                <wp:simplePos x="0" y="0"/>
                <wp:positionH relativeFrom="column">
                  <wp:posOffset>3267277</wp:posOffset>
                </wp:positionH>
                <wp:positionV relativeFrom="paragraph">
                  <wp:posOffset>1767767</wp:posOffset>
                </wp:positionV>
                <wp:extent cx="1623717" cy="645403"/>
                <wp:effectExtent l="0" t="0" r="0" b="0"/>
                <wp:wrapNone/>
                <wp:docPr id="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717" cy="64540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A62459" w14:textId="60F44628" w:rsidR="008B6B0E" w:rsidRDefault="008B6B0E" w:rsidP="008B6B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The 2022 total recipients reflects the introduction of the emails from BoS eLearning </w:t>
                            </w:r>
                            <w:r w:rsidR="003E039E">
                              <w:rPr>
                                <w:rFonts w:asciiTheme="minorHAnsi" w:hAnsi="Calibri" w:cstheme="minorBid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participants. 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63A7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7.25pt;margin-top:139.2pt;width:127.85pt;height:5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" filled="f" stroked="f">
                <v:textbox>
                  <w:txbxContent>
                    <w:p w14:paraId="5BA62459" w14:textId="60F44628" w:rsidR="008B6B0E" w:rsidRDefault="008B6B0E" w:rsidP="008B6B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FFFFFF" w:themeColor="background1"/>
                          <w:sz w:val="18"/>
                          <w:szCs w:val="18"/>
                        </w:rPr>
                        <w:t xml:space="preserve">The 2022 total recipients reflects the introduction of the emails from BoS eLearning </w:t>
                      </w:r>
                      <w:r w:rsidR="003E039E">
                        <w:rPr>
                          <w:rFonts w:asciiTheme="minorHAnsi" w:hAnsi="Calibri" w:cstheme="minorBidi"/>
                          <w:color w:val="FFFFFF" w:themeColor="background1"/>
                          <w:sz w:val="18"/>
                          <w:szCs w:val="18"/>
                        </w:rPr>
                        <w:t xml:space="preserve">participants.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</w:rPr>
        <w:br w:type="page"/>
      </w:r>
    </w:p>
    <w:p w14:paraId="5CFCBC73" w14:textId="1F923367" w:rsidR="0021003B" w:rsidRDefault="000B4B01" w:rsidP="00C56E58">
      <w:pPr>
        <w:pStyle w:val="Heading1"/>
        <w:spacing w:before="120" w:after="240"/>
        <w:rPr>
          <w:rFonts w:ascii="Garamond" w:hAnsi="Garamond"/>
        </w:rPr>
      </w:pPr>
      <w:bookmarkStart w:id="3" w:name="_Toc122343250"/>
      <w:r w:rsidRPr="00FB19DE">
        <w:rPr>
          <w:rFonts w:ascii="Garamond" w:hAnsi="Garamond"/>
        </w:rPr>
        <w:lastRenderedPageBreak/>
        <w:t xml:space="preserve">Featured </w:t>
      </w:r>
      <w:r w:rsidR="0021003B" w:rsidRPr="00FB19DE">
        <w:rPr>
          <w:rFonts w:ascii="Garamond" w:hAnsi="Garamond"/>
        </w:rPr>
        <w:t>Topic</w:t>
      </w:r>
      <w:r w:rsidRPr="00FB19DE">
        <w:rPr>
          <w:rFonts w:ascii="Garamond" w:hAnsi="Garamond"/>
        </w:rPr>
        <w:t>s</w:t>
      </w:r>
      <w:bookmarkEnd w:id="3"/>
    </w:p>
    <w:p w14:paraId="0CEDA623" w14:textId="338E53B2" w:rsidR="00B861B6" w:rsidRPr="005A6F7A" w:rsidRDefault="005A6F7A" w:rsidP="00B861B6">
      <w:pPr>
        <w:rPr>
          <w:rFonts w:ascii="Garamond" w:hAnsi="Garamond"/>
        </w:rPr>
      </w:pPr>
      <w:r w:rsidRPr="005A6F7A">
        <w:rPr>
          <w:rFonts w:ascii="Garamond" w:hAnsi="Garamond"/>
        </w:rPr>
        <w:t>In most cases, the Communications Committee identifies a feature topic for newsletter issues</w:t>
      </w:r>
      <w:r w:rsidR="003D1D46">
        <w:rPr>
          <w:rFonts w:ascii="Garamond" w:hAnsi="Garamond"/>
        </w:rPr>
        <w:t>, and align</w:t>
      </w:r>
      <w:r w:rsidRPr="005A6F7A">
        <w:rPr>
          <w:rFonts w:ascii="Garamond" w:hAnsi="Garamond"/>
        </w:rPr>
        <w:t xml:space="preserve"> articles and success stories</w:t>
      </w:r>
      <w:r w:rsidR="003D1D46">
        <w:rPr>
          <w:rFonts w:ascii="Garamond" w:hAnsi="Garamond"/>
        </w:rPr>
        <w:t xml:space="preserve"> with the theme</w:t>
      </w:r>
      <w:r w:rsidRPr="005A6F7A">
        <w:rPr>
          <w:rFonts w:ascii="Garamond" w:hAnsi="Garamond"/>
        </w:rPr>
        <w:t xml:space="preserve">. </w:t>
      </w:r>
      <w:r>
        <w:rPr>
          <w:rFonts w:ascii="Garamond" w:hAnsi="Garamond"/>
        </w:rPr>
        <w:t>Below is an inventory of</w:t>
      </w:r>
      <w:r w:rsidR="00B861B6" w:rsidRPr="005A6F7A">
        <w:rPr>
          <w:rFonts w:ascii="Garamond" w:hAnsi="Garamond"/>
        </w:rPr>
        <w:t xml:space="preserve"> the</w:t>
      </w:r>
      <w:r w:rsidRPr="005A6F7A">
        <w:rPr>
          <w:rFonts w:ascii="Garamond" w:hAnsi="Garamond"/>
        </w:rPr>
        <w:t xml:space="preserve"> </w:t>
      </w:r>
      <w:r w:rsidR="00B861B6" w:rsidRPr="005A6F7A">
        <w:rPr>
          <w:rFonts w:ascii="Garamond" w:hAnsi="Garamond"/>
        </w:rPr>
        <w:t>topics featured, by month, for the run of the newsletter.</w:t>
      </w:r>
    </w:p>
    <w:p w14:paraId="23DCC3DA" w14:textId="67BF02EC" w:rsidR="009E506A" w:rsidRDefault="009E506A" w:rsidP="009E506A">
      <w:pPr>
        <w:jc w:val="center"/>
        <w:rPr>
          <w:noProof/>
        </w:rPr>
      </w:pPr>
      <w:r w:rsidRPr="009E506A">
        <w:rPr>
          <w:noProof/>
        </w:rPr>
        <w:drawing>
          <wp:inline distT="0" distB="0" distL="0" distR="0" wp14:anchorId="25DFF639" wp14:editId="4D263E04">
            <wp:extent cx="5843203" cy="5936135"/>
            <wp:effectExtent l="0" t="0" r="5715" b="7620"/>
            <wp:docPr id="16" name="Picture 16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Tabl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93525" cy="598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D6E1A" w14:textId="0C692176" w:rsidR="00B861B6" w:rsidRPr="009D5815" w:rsidRDefault="005A6F7A">
      <w:pPr>
        <w:rPr>
          <w:rFonts w:ascii="Garamond" w:hAnsi="Garamond"/>
        </w:rPr>
      </w:pPr>
      <w:r>
        <w:rPr>
          <w:rFonts w:ascii="Garamond" w:hAnsi="Garamond"/>
        </w:rPr>
        <w:t>We compared t</w:t>
      </w:r>
      <w:r w:rsidR="007E2C37" w:rsidRPr="009D5815">
        <w:rPr>
          <w:rFonts w:ascii="Garamond" w:hAnsi="Garamond"/>
        </w:rPr>
        <w:t xml:space="preserve">he Unique Open Rates for </w:t>
      </w:r>
      <w:r>
        <w:rPr>
          <w:rFonts w:ascii="Garamond" w:hAnsi="Garamond"/>
        </w:rPr>
        <w:t>repeated feature topics</w:t>
      </w:r>
      <w:r w:rsidR="007E2C37" w:rsidRPr="009D5815">
        <w:rPr>
          <w:rFonts w:ascii="Garamond" w:hAnsi="Garamond"/>
        </w:rPr>
        <w:t xml:space="preserve"> over the run of the newsletter to </w:t>
      </w:r>
      <w:r>
        <w:rPr>
          <w:rFonts w:ascii="Garamond" w:hAnsi="Garamond"/>
        </w:rPr>
        <w:t>identify any patterns in reader interests</w:t>
      </w:r>
      <w:r w:rsidR="00B861B6" w:rsidRPr="009D5815">
        <w:rPr>
          <w:rFonts w:ascii="Garamond" w:hAnsi="Garamond"/>
        </w:rPr>
        <w:t xml:space="preserve">.  </w:t>
      </w:r>
    </w:p>
    <w:p w14:paraId="7B9988B9" w14:textId="028E398D" w:rsidR="00EF10D5" w:rsidRPr="009D5815" w:rsidRDefault="00EF10D5">
      <w:pPr>
        <w:rPr>
          <w:rFonts w:ascii="Garamond" w:hAnsi="Garamond"/>
        </w:rPr>
      </w:pPr>
      <w:r w:rsidRPr="009D5815">
        <w:rPr>
          <w:rFonts w:ascii="Garamond" w:hAnsi="Garamond"/>
        </w:rPr>
        <w:t xml:space="preserve">The highest Unique Open Rate across all issues was 48% for Issue #18, but since this Issue focused on informing workforce staff regarding pandemic-related closures, it was not a repeat topic. </w:t>
      </w:r>
      <w:r w:rsidR="007E2C37" w:rsidRPr="009D5815">
        <w:rPr>
          <w:rFonts w:ascii="Garamond" w:hAnsi="Garamond"/>
        </w:rPr>
        <w:t>Nine</w:t>
      </w:r>
      <w:r w:rsidRPr="009D5815">
        <w:rPr>
          <w:rFonts w:ascii="Garamond" w:hAnsi="Garamond"/>
        </w:rPr>
        <w:t xml:space="preserve"> topical areas have been featured more than once. </w:t>
      </w:r>
      <w:r w:rsidR="007E2C37" w:rsidRPr="009D5815">
        <w:rPr>
          <w:rFonts w:ascii="Garamond" w:hAnsi="Garamond"/>
        </w:rPr>
        <w:t>The</w:t>
      </w:r>
      <w:r w:rsidR="0082526B">
        <w:rPr>
          <w:rFonts w:ascii="Garamond" w:hAnsi="Garamond"/>
        </w:rPr>
        <w:t>y</w:t>
      </w:r>
      <w:r w:rsidR="007E2C37" w:rsidRPr="009D5815">
        <w:rPr>
          <w:rFonts w:ascii="Garamond" w:hAnsi="Garamond"/>
        </w:rPr>
        <w:t xml:space="preserve"> are ranked as follows:</w:t>
      </w:r>
    </w:p>
    <w:p w14:paraId="7772A625" w14:textId="3C981A49" w:rsidR="007E2C37" w:rsidRPr="009D5815" w:rsidRDefault="007E2C37" w:rsidP="007E2C37">
      <w:pPr>
        <w:pStyle w:val="ListParagraph"/>
        <w:numPr>
          <w:ilvl w:val="0"/>
          <w:numId w:val="4"/>
        </w:numPr>
        <w:rPr>
          <w:rFonts w:ascii="Garamond" w:hAnsi="Garamond"/>
        </w:rPr>
      </w:pPr>
      <w:r w:rsidRPr="009D5815">
        <w:rPr>
          <w:rFonts w:ascii="Garamond" w:hAnsi="Garamond"/>
        </w:rPr>
        <w:t>Adult Education – 29%</w:t>
      </w:r>
    </w:p>
    <w:p w14:paraId="05024580" w14:textId="59E31392" w:rsidR="007E2C37" w:rsidRPr="009D5815" w:rsidRDefault="007E2C37" w:rsidP="007E2C37">
      <w:pPr>
        <w:pStyle w:val="ListParagraph"/>
        <w:numPr>
          <w:ilvl w:val="0"/>
          <w:numId w:val="4"/>
        </w:numPr>
        <w:rPr>
          <w:rFonts w:ascii="Garamond" w:hAnsi="Garamond"/>
        </w:rPr>
      </w:pPr>
      <w:r w:rsidRPr="009D5815">
        <w:rPr>
          <w:rFonts w:ascii="Garamond" w:hAnsi="Garamond"/>
        </w:rPr>
        <w:t>Veterans – 29%</w:t>
      </w:r>
    </w:p>
    <w:p w14:paraId="2A5BC38D" w14:textId="3C9D390A" w:rsidR="007E2C37" w:rsidRDefault="007E2C37" w:rsidP="007E2C37">
      <w:pPr>
        <w:pStyle w:val="ListParagraph"/>
        <w:numPr>
          <w:ilvl w:val="0"/>
          <w:numId w:val="4"/>
        </w:numPr>
        <w:rPr>
          <w:rFonts w:ascii="Garamond" w:hAnsi="Garamond"/>
        </w:rPr>
      </w:pPr>
      <w:r w:rsidRPr="009D5815">
        <w:rPr>
          <w:rFonts w:ascii="Garamond" w:hAnsi="Garamond"/>
        </w:rPr>
        <w:t>Reemployment Services – 26%</w:t>
      </w:r>
    </w:p>
    <w:p w14:paraId="41F82ACB" w14:textId="77777777" w:rsidR="00311685" w:rsidRPr="009D5815" w:rsidRDefault="00311685" w:rsidP="00311685">
      <w:pPr>
        <w:pStyle w:val="ListParagraph"/>
        <w:numPr>
          <w:ilvl w:val="0"/>
          <w:numId w:val="4"/>
        </w:numPr>
        <w:rPr>
          <w:rFonts w:ascii="Garamond" w:hAnsi="Garamond"/>
        </w:rPr>
      </w:pPr>
      <w:r w:rsidRPr="009D5815">
        <w:rPr>
          <w:rFonts w:ascii="Garamond" w:hAnsi="Garamond"/>
        </w:rPr>
        <w:t>Apprenticeship – 2</w:t>
      </w:r>
      <w:r>
        <w:rPr>
          <w:rFonts w:ascii="Garamond" w:hAnsi="Garamond"/>
        </w:rPr>
        <w:t>4</w:t>
      </w:r>
      <w:r w:rsidRPr="009D5815">
        <w:rPr>
          <w:rFonts w:ascii="Garamond" w:hAnsi="Garamond"/>
        </w:rPr>
        <w:t>%</w:t>
      </w:r>
    </w:p>
    <w:p w14:paraId="5776F850" w14:textId="065BE0F4" w:rsidR="007E2C37" w:rsidRPr="009D5815" w:rsidRDefault="007E2C37" w:rsidP="007E2C37">
      <w:pPr>
        <w:pStyle w:val="ListParagraph"/>
        <w:numPr>
          <w:ilvl w:val="0"/>
          <w:numId w:val="4"/>
        </w:numPr>
        <w:rPr>
          <w:rFonts w:ascii="Garamond" w:hAnsi="Garamond"/>
        </w:rPr>
      </w:pPr>
      <w:r w:rsidRPr="009D5815">
        <w:rPr>
          <w:rFonts w:ascii="Garamond" w:hAnsi="Garamond"/>
        </w:rPr>
        <w:lastRenderedPageBreak/>
        <w:t>Department of Human Services Programs – 23%</w:t>
      </w:r>
    </w:p>
    <w:p w14:paraId="0DD19B21" w14:textId="37CC8990" w:rsidR="007E2C37" w:rsidRPr="009D5815" w:rsidRDefault="007E2C37" w:rsidP="007E2C37">
      <w:pPr>
        <w:pStyle w:val="ListParagraph"/>
        <w:numPr>
          <w:ilvl w:val="0"/>
          <w:numId w:val="4"/>
        </w:numPr>
        <w:rPr>
          <w:rFonts w:ascii="Garamond" w:hAnsi="Garamond"/>
        </w:rPr>
      </w:pPr>
      <w:r w:rsidRPr="009D5815">
        <w:rPr>
          <w:rFonts w:ascii="Garamond" w:hAnsi="Garamond"/>
        </w:rPr>
        <w:t>Services for the Disabled (DORS) – 22%</w:t>
      </w:r>
    </w:p>
    <w:p w14:paraId="3CC63301" w14:textId="55152363" w:rsidR="007E2C37" w:rsidRPr="009D5815" w:rsidRDefault="007E2C37" w:rsidP="007E2C37">
      <w:pPr>
        <w:pStyle w:val="ListParagraph"/>
        <w:numPr>
          <w:ilvl w:val="0"/>
          <w:numId w:val="4"/>
        </w:numPr>
        <w:rPr>
          <w:rFonts w:ascii="Garamond" w:hAnsi="Garamond"/>
        </w:rPr>
      </w:pPr>
      <w:r w:rsidRPr="009D5815">
        <w:rPr>
          <w:rFonts w:ascii="Garamond" w:hAnsi="Garamond"/>
        </w:rPr>
        <w:t>Returning Citizens – 22%</w:t>
      </w:r>
    </w:p>
    <w:p w14:paraId="26FB6190" w14:textId="2746EE65" w:rsidR="007E2C37" w:rsidRPr="009D5815" w:rsidRDefault="007E2C37" w:rsidP="007E2C37">
      <w:pPr>
        <w:pStyle w:val="ListParagraph"/>
        <w:numPr>
          <w:ilvl w:val="0"/>
          <w:numId w:val="4"/>
        </w:numPr>
        <w:rPr>
          <w:rFonts w:ascii="Garamond" w:hAnsi="Garamond"/>
        </w:rPr>
      </w:pPr>
      <w:r w:rsidRPr="009D5815">
        <w:rPr>
          <w:rFonts w:ascii="Garamond" w:hAnsi="Garamond"/>
        </w:rPr>
        <w:t>Youth – 22%</w:t>
      </w:r>
    </w:p>
    <w:p w14:paraId="673450D0" w14:textId="07901697" w:rsidR="007E2C37" w:rsidRPr="009D5815" w:rsidRDefault="007E2C37" w:rsidP="007E2C37">
      <w:pPr>
        <w:pStyle w:val="ListParagraph"/>
        <w:numPr>
          <w:ilvl w:val="0"/>
          <w:numId w:val="4"/>
        </w:numPr>
        <w:rPr>
          <w:rFonts w:ascii="Garamond" w:hAnsi="Garamond"/>
        </w:rPr>
      </w:pPr>
      <w:r w:rsidRPr="009D5815">
        <w:rPr>
          <w:rFonts w:ascii="Garamond" w:hAnsi="Garamond"/>
        </w:rPr>
        <w:t>EARN Maryland – 15%</w:t>
      </w:r>
    </w:p>
    <w:p w14:paraId="068CD472" w14:textId="061B69DD" w:rsidR="00B861B6" w:rsidRPr="009D5815" w:rsidRDefault="00EF10D5" w:rsidP="009D5815">
      <w:pPr>
        <w:rPr>
          <w:rFonts w:ascii="Garamond" w:hAnsi="Garamond"/>
          <w:b/>
          <w:bCs/>
        </w:rPr>
      </w:pPr>
      <w:r w:rsidRPr="009D5815">
        <w:rPr>
          <w:rFonts w:ascii="Garamond" w:hAnsi="Garamond"/>
        </w:rPr>
        <w:t xml:space="preserve">A full breakdown of topics appears in the Appendix. </w:t>
      </w:r>
      <w:r w:rsidR="00B861B6" w:rsidRPr="009D5815">
        <w:rPr>
          <w:rFonts w:ascii="Garamond" w:hAnsi="Garamond"/>
          <w:b/>
          <w:bCs/>
        </w:rPr>
        <w:br w:type="page"/>
      </w:r>
    </w:p>
    <w:p w14:paraId="28122C29" w14:textId="0C116320" w:rsidR="00B861B6" w:rsidRDefault="00B861B6" w:rsidP="00B861B6">
      <w:pPr>
        <w:pStyle w:val="Heading1"/>
      </w:pPr>
      <w:bookmarkStart w:id="4" w:name="_Toc122343251"/>
      <w:r>
        <w:lastRenderedPageBreak/>
        <w:t>Appendix</w:t>
      </w:r>
      <w:bookmarkEnd w:id="4"/>
    </w:p>
    <w:p w14:paraId="477B23B6" w14:textId="24204F3E" w:rsidR="00C34D91" w:rsidRPr="009D5815" w:rsidRDefault="00667FF6">
      <w:pPr>
        <w:rPr>
          <w:rFonts w:ascii="Garamond" w:hAnsi="Garamond"/>
          <w:b/>
          <w:bCs/>
        </w:rPr>
      </w:pPr>
      <w:r w:rsidRPr="009D5815">
        <w:rPr>
          <w:rFonts w:ascii="Garamond" w:hAnsi="Garamond"/>
          <w:b/>
          <w:bCs/>
        </w:rPr>
        <w:t>Breakdown of Unique Open Rates by Topic</w:t>
      </w:r>
    </w:p>
    <w:tbl>
      <w:tblPr>
        <w:tblW w:w="5957" w:type="dxa"/>
        <w:tblLook w:val="04A0" w:firstRow="1" w:lastRow="0" w:firstColumn="1" w:lastColumn="0" w:noHBand="0" w:noVBand="1"/>
      </w:tblPr>
      <w:tblGrid>
        <w:gridCol w:w="1637"/>
        <w:gridCol w:w="1440"/>
        <w:gridCol w:w="1440"/>
        <w:gridCol w:w="1440"/>
      </w:tblGrid>
      <w:tr w:rsidR="00C34D91" w:rsidRPr="009D5815" w14:paraId="53CF5CFC" w14:textId="77777777" w:rsidTr="009E506A">
        <w:trPr>
          <w:trHeight w:val="60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CDB211" w14:textId="77777777" w:rsidR="00C34D91" w:rsidRPr="009D5815" w:rsidRDefault="00C34D91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Focus Topic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534ED06" w14:textId="77777777" w:rsidR="00C34D91" w:rsidRPr="009D5815" w:rsidRDefault="00C34D91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Issue #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75D785" w14:textId="77777777" w:rsidR="00C34D91" w:rsidRPr="009D5815" w:rsidRDefault="00C34D91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Publication Dates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D9E913" w14:textId="77777777" w:rsidR="00C34D91" w:rsidRPr="009D5815" w:rsidRDefault="00C34D91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Unique Open Rate</w:t>
            </w:r>
          </w:p>
        </w:tc>
      </w:tr>
      <w:tr w:rsidR="00B861B6" w:rsidRPr="009D5815" w14:paraId="65DA035A" w14:textId="77777777" w:rsidTr="00531CED">
        <w:trPr>
          <w:trHeight w:val="300"/>
        </w:trPr>
        <w:tc>
          <w:tcPr>
            <w:tcW w:w="16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552F1CA4" w14:textId="77777777" w:rsidR="00B861B6" w:rsidRPr="009D5815" w:rsidRDefault="00B861B6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Apprenticeship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AAB67" w14:textId="77777777" w:rsidR="00B861B6" w:rsidRPr="009D5815" w:rsidRDefault="00B861B6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E5082" w14:textId="77777777" w:rsidR="00B861B6" w:rsidRPr="009D5815" w:rsidRDefault="00B861B6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8/21/2018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346A4" w14:textId="77777777" w:rsidR="00B861B6" w:rsidRPr="009D5815" w:rsidRDefault="00B861B6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32%</w:t>
            </w:r>
          </w:p>
        </w:tc>
      </w:tr>
      <w:tr w:rsidR="00B861B6" w:rsidRPr="009D5815" w14:paraId="0C5ECBFB" w14:textId="77777777" w:rsidTr="00531CED">
        <w:trPr>
          <w:trHeight w:val="300"/>
        </w:trPr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BF849C" w14:textId="77777777" w:rsidR="00B861B6" w:rsidRPr="009D5815" w:rsidRDefault="00B861B6" w:rsidP="00C34D9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F4A9D" w14:textId="77777777" w:rsidR="00B861B6" w:rsidRPr="009D5815" w:rsidRDefault="00B861B6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E18EA" w14:textId="77777777" w:rsidR="00B861B6" w:rsidRPr="009D5815" w:rsidRDefault="00B861B6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2/21/2019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EA578" w14:textId="77777777" w:rsidR="00B861B6" w:rsidRPr="009D5815" w:rsidRDefault="00B861B6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30%</w:t>
            </w:r>
          </w:p>
        </w:tc>
      </w:tr>
      <w:tr w:rsidR="00B861B6" w:rsidRPr="009D5815" w14:paraId="76E37D98" w14:textId="77777777" w:rsidTr="00531CED">
        <w:trPr>
          <w:trHeight w:val="300"/>
        </w:trPr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635EB" w14:textId="77777777" w:rsidR="00B861B6" w:rsidRPr="009D5815" w:rsidRDefault="00B861B6" w:rsidP="009E506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F6EAF" w14:textId="52EC4C49" w:rsidR="00B861B6" w:rsidRPr="009D5815" w:rsidRDefault="00B861B6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60239" w14:textId="4E3774AB" w:rsidR="00B861B6" w:rsidRPr="009D5815" w:rsidRDefault="00B861B6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12/3/2020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00599" w14:textId="4083B065" w:rsidR="00B861B6" w:rsidRPr="009D5815" w:rsidRDefault="00B861B6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15%</w:t>
            </w:r>
          </w:p>
        </w:tc>
      </w:tr>
      <w:tr w:rsidR="00B861B6" w:rsidRPr="009D5815" w14:paraId="66D484D7" w14:textId="77777777" w:rsidTr="00531CED">
        <w:trPr>
          <w:trHeight w:val="300"/>
        </w:trPr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C4186D" w14:textId="77777777" w:rsidR="00B861B6" w:rsidRPr="009D5815" w:rsidRDefault="00B861B6" w:rsidP="00B861B6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9E8F0" w14:textId="4618952C" w:rsidR="00B861B6" w:rsidRPr="009D5815" w:rsidRDefault="00B861B6" w:rsidP="00B861B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A02C6" w14:textId="2C762FAA" w:rsidR="00B861B6" w:rsidRPr="009D5815" w:rsidRDefault="00B861B6" w:rsidP="00B861B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12/13/22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939A0" w14:textId="5AE6CD95" w:rsidR="00B861B6" w:rsidRPr="009D5815" w:rsidRDefault="00311685" w:rsidP="00B861B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19%</w:t>
            </w:r>
          </w:p>
        </w:tc>
      </w:tr>
      <w:tr w:rsidR="009E506A" w:rsidRPr="009D5815" w14:paraId="2584A547" w14:textId="77777777" w:rsidTr="009E506A">
        <w:trPr>
          <w:trHeight w:val="300"/>
        </w:trPr>
        <w:tc>
          <w:tcPr>
            <w:tcW w:w="4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92485" w14:textId="77777777" w:rsidR="009E506A" w:rsidRPr="009D5815" w:rsidRDefault="009E506A" w:rsidP="009E506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Avg.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DFAB1D2" w14:textId="640F7B18" w:rsidR="009E506A" w:rsidRPr="009D5815" w:rsidRDefault="009E506A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</w:t>
            </w:r>
            <w:r w:rsidR="0031168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</w:t>
            </w: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%</w:t>
            </w:r>
          </w:p>
        </w:tc>
      </w:tr>
      <w:tr w:rsidR="009E506A" w:rsidRPr="009D5815" w14:paraId="5AD4F4AC" w14:textId="77777777" w:rsidTr="009E506A">
        <w:trPr>
          <w:trHeight w:val="300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CBD1" w14:textId="77777777" w:rsidR="009E506A" w:rsidRPr="009D5815" w:rsidRDefault="009E506A" w:rsidP="009E506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EBF6" w14:textId="77777777" w:rsidR="009E506A" w:rsidRPr="009D5815" w:rsidRDefault="009E506A" w:rsidP="009E506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30CF" w14:textId="77777777" w:rsidR="009E506A" w:rsidRPr="009D5815" w:rsidRDefault="009E506A" w:rsidP="009E506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3303" w14:textId="77777777" w:rsidR="009E506A" w:rsidRPr="009D5815" w:rsidRDefault="009E506A" w:rsidP="009E506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9E506A" w:rsidRPr="009D5815" w14:paraId="505B2674" w14:textId="77777777" w:rsidTr="009E506A">
        <w:trPr>
          <w:trHeight w:val="60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6BB4A9E" w14:textId="77777777" w:rsidR="009E506A" w:rsidRPr="009D5815" w:rsidRDefault="009E506A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Focus Topic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2A6AF6" w14:textId="77777777" w:rsidR="009E506A" w:rsidRPr="009D5815" w:rsidRDefault="009E506A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Issue #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5637DB" w14:textId="77777777" w:rsidR="009E506A" w:rsidRPr="009D5815" w:rsidRDefault="009E506A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Publication Dates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A9BA40" w14:textId="77777777" w:rsidR="009E506A" w:rsidRPr="009D5815" w:rsidRDefault="009E506A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Unique Open Rate</w:t>
            </w:r>
          </w:p>
        </w:tc>
      </w:tr>
      <w:tr w:rsidR="009E506A" w:rsidRPr="009D5815" w14:paraId="0BB0E883" w14:textId="77777777" w:rsidTr="009E506A">
        <w:trPr>
          <w:trHeight w:val="300"/>
        </w:trPr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hideMark/>
          </w:tcPr>
          <w:p w14:paraId="53DF1E0F" w14:textId="77777777" w:rsidR="009E506A" w:rsidRPr="009D5815" w:rsidRDefault="009E506A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Returning Citizens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11133" w14:textId="77777777" w:rsidR="009E506A" w:rsidRPr="009D5815" w:rsidRDefault="009E506A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D8CA6" w14:textId="77777777" w:rsidR="009E506A" w:rsidRPr="009D5815" w:rsidRDefault="009E506A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9/19/2018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97BD8" w14:textId="77777777" w:rsidR="009E506A" w:rsidRPr="009D5815" w:rsidRDefault="009E506A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32%</w:t>
            </w:r>
          </w:p>
        </w:tc>
      </w:tr>
      <w:tr w:rsidR="009E506A" w:rsidRPr="009D5815" w14:paraId="67164BA4" w14:textId="77777777" w:rsidTr="009E506A">
        <w:trPr>
          <w:trHeight w:val="300"/>
        </w:trPr>
        <w:tc>
          <w:tcPr>
            <w:tcW w:w="16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D4914E" w14:textId="77777777" w:rsidR="009E506A" w:rsidRPr="009D5815" w:rsidRDefault="009E506A" w:rsidP="009E506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71B27" w14:textId="77777777" w:rsidR="009E506A" w:rsidRPr="009D5815" w:rsidRDefault="009E506A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97B63" w14:textId="77777777" w:rsidR="009E506A" w:rsidRPr="009D5815" w:rsidRDefault="009E506A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4/23/2021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F6519" w14:textId="77777777" w:rsidR="009E506A" w:rsidRPr="009D5815" w:rsidRDefault="009E506A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12%</w:t>
            </w:r>
          </w:p>
        </w:tc>
      </w:tr>
      <w:tr w:rsidR="009E506A" w:rsidRPr="009D5815" w14:paraId="0CBC41E0" w14:textId="77777777" w:rsidTr="009E506A">
        <w:trPr>
          <w:trHeight w:val="300"/>
        </w:trPr>
        <w:tc>
          <w:tcPr>
            <w:tcW w:w="4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0D16E" w14:textId="77777777" w:rsidR="009E506A" w:rsidRPr="009D5815" w:rsidRDefault="009E506A" w:rsidP="009E506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Avg.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64F56A7" w14:textId="77777777" w:rsidR="009E506A" w:rsidRPr="009D5815" w:rsidRDefault="009E506A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22%</w:t>
            </w:r>
          </w:p>
        </w:tc>
      </w:tr>
      <w:tr w:rsidR="009E506A" w:rsidRPr="009D5815" w14:paraId="789D4F34" w14:textId="77777777" w:rsidTr="009E506A">
        <w:trPr>
          <w:trHeight w:val="300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EBD9" w14:textId="77777777" w:rsidR="009E506A" w:rsidRPr="009D5815" w:rsidRDefault="009E506A" w:rsidP="009E506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9FC6" w14:textId="77777777" w:rsidR="009E506A" w:rsidRPr="009D5815" w:rsidRDefault="009E506A" w:rsidP="009E506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54C1" w14:textId="77777777" w:rsidR="009E506A" w:rsidRPr="009D5815" w:rsidRDefault="009E506A" w:rsidP="009E506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6A8C" w14:textId="77777777" w:rsidR="009E506A" w:rsidRPr="009D5815" w:rsidRDefault="009E506A" w:rsidP="009E506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9E506A" w:rsidRPr="009D5815" w14:paraId="32012A7B" w14:textId="77777777" w:rsidTr="009E506A">
        <w:trPr>
          <w:trHeight w:val="60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F46FA2" w14:textId="77777777" w:rsidR="009E506A" w:rsidRPr="009D5815" w:rsidRDefault="009E506A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Focus Topic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6B6980" w14:textId="77777777" w:rsidR="009E506A" w:rsidRPr="009D5815" w:rsidRDefault="009E506A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Issue #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BB3090" w14:textId="77777777" w:rsidR="009E506A" w:rsidRPr="009D5815" w:rsidRDefault="009E506A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Publication Dates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42CEB8" w14:textId="77777777" w:rsidR="009E506A" w:rsidRPr="009D5815" w:rsidRDefault="009E506A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Unique Open Rate</w:t>
            </w:r>
          </w:p>
        </w:tc>
      </w:tr>
      <w:tr w:rsidR="009E506A" w:rsidRPr="009D5815" w14:paraId="5AF79E04" w14:textId="77777777" w:rsidTr="009E506A">
        <w:trPr>
          <w:trHeight w:val="300"/>
        </w:trPr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E4D6"/>
            <w:hideMark/>
          </w:tcPr>
          <w:p w14:paraId="71C78F04" w14:textId="77777777" w:rsidR="009E506A" w:rsidRPr="009D5815" w:rsidRDefault="009E506A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Veterans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68098" w14:textId="77777777" w:rsidR="009E506A" w:rsidRPr="009D5815" w:rsidRDefault="009E506A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00FAD" w14:textId="77777777" w:rsidR="009E506A" w:rsidRPr="009D5815" w:rsidRDefault="009E506A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1/16/2018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62C20" w14:textId="77777777" w:rsidR="009E506A" w:rsidRPr="009D5815" w:rsidRDefault="009E506A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31%</w:t>
            </w:r>
          </w:p>
        </w:tc>
      </w:tr>
      <w:tr w:rsidR="009E506A" w:rsidRPr="009D5815" w14:paraId="62B1CE79" w14:textId="77777777" w:rsidTr="009E506A">
        <w:trPr>
          <w:trHeight w:val="300"/>
        </w:trPr>
        <w:tc>
          <w:tcPr>
            <w:tcW w:w="16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875E9D9" w14:textId="77777777" w:rsidR="009E506A" w:rsidRPr="009D5815" w:rsidRDefault="009E506A" w:rsidP="009E506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92757" w14:textId="77777777" w:rsidR="009E506A" w:rsidRPr="009D5815" w:rsidRDefault="009E506A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6F199" w14:textId="77777777" w:rsidR="009E506A" w:rsidRPr="009D5815" w:rsidRDefault="009E506A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9/20/2021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F4EE0" w14:textId="77777777" w:rsidR="009E506A" w:rsidRPr="009D5815" w:rsidRDefault="009E506A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26%</w:t>
            </w:r>
          </w:p>
        </w:tc>
      </w:tr>
      <w:tr w:rsidR="009E506A" w:rsidRPr="009D5815" w14:paraId="3EB16D90" w14:textId="77777777" w:rsidTr="009E506A">
        <w:trPr>
          <w:trHeight w:val="300"/>
        </w:trPr>
        <w:tc>
          <w:tcPr>
            <w:tcW w:w="4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AF5C3" w14:textId="77777777" w:rsidR="009E506A" w:rsidRPr="009D5815" w:rsidRDefault="009E506A" w:rsidP="009E506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Avg.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8C312B5" w14:textId="77777777" w:rsidR="009E506A" w:rsidRPr="009D5815" w:rsidRDefault="009E506A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29%</w:t>
            </w:r>
          </w:p>
        </w:tc>
      </w:tr>
      <w:tr w:rsidR="009E506A" w:rsidRPr="009D5815" w14:paraId="58A35460" w14:textId="77777777" w:rsidTr="009E506A">
        <w:trPr>
          <w:trHeight w:val="300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B4AE" w14:textId="77777777" w:rsidR="009E506A" w:rsidRPr="009D5815" w:rsidRDefault="009E506A" w:rsidP="009E506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497C" w14:textId="77777777" w:rsidR="009E506A" w:rsidRPr="009D5815" w:rsidRDefault="009E506A" w:rsidP="009E506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DE75" w14:textId="77777777" w:rsidR="009E506A" w:rsidRPr="009D5815" w:rsidRDefault="009E506A" w:rsidP="009E506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0220" w14:textId="77777777" w:rsidR="009E506A" w:rsidRPr="009D5815" w:rsidRDefault="009E506A" w:rsidP="009E506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9E506A" w:rsidRPr="009D5815" w14:paraId="257A0C05" w14:textId="77777777" w:rsidTr="009E506A">
        <w:trPr>
          <w:trHeight w:val="60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E8BD0C" w14:textId="77777777" w:rsidR="009E506A" w:rsidRPr="009D5815" w:rsidRDefault="009E506A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Focus Topic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A9247D" w14:textId="77777777" w:rsidR="009E506A" w:rsidRPr="009D5815" w:rsidRDefault="009E506A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Issue #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E9B2EB" w14:textId="77777777" w:rsidR="009E506A" w:rsidRPr="009D5815" w:rsidRDefault="009E506A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Publication Dates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6819D3D" w14:textId="77777777" w:rsidR="009E506A" w:rsidRPr="009D5815" w:rsidRDefault="009E506A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Unique Open Rate</w:t>
            </w:r>
          </w:p>
        </w:tc>
      </w:tr>
      <w:tr w:rsidR="00B861B6" w:rsidRPr="009D5815" w14:paraId="613ED29B" w14:textId="77777777" w:rsidTr="00A02AE8">
        <w:trPr>
          <w:trHeight w:val="300"/>
        </w:trPr>
        <w:tc>
          <w:tcPr>
            <w:tcW w:w="16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562BF402" w14:textId="77777777" w:rsidR="00B861B6" w:rsidRPr="009D5815" w:rsidRDefault="00B861B6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Reemployment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CC28C" w14:textId="77777777" w:rsidR="00B861B6" w:rsidRPr="009D5815" w:rsidRDefault="00B861B6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05C30" w14:textId="77777777" w:rsidR="00B861B6" w:rsidRPr="009D5815" w:rsidRDefault="00B861B6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12/21/2018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D637E" w14:textId="77777777" w:rsidR="00B861B6" w:rsidRPr="009D5815" w:rsidRDefault="00B861B6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26%</w:t>
            </w:r>
          </w:p>
        </w:tc>
      </w:tr>
      <w:tr w:rsidR="00B861B6" w:rsidRPr="009D5815" w14:paraId="031BE425" w14:textId="77777777" w:rsidTr="00A02AE8">
        <w:trPr>
          <w:trHeight w:val="300"/>
        </w:trPr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226BA3" w14:textId="77777777" w:rsidR="00B861B6" w:rsidRPr="009D5815" w:rsidRDefault="00B861B6" w:rsidP="009E506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81233" w14:textId="77777777" w:rsidR="00B861B6" w:rsidRPr="009D5815" w:rsidRDefault="00B861B6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EFB08" w14:textId="77777777" w:rsidR="00B861B6" w:rsidRPr="009D5815" w:rsidRDefault="00B861B6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6/20/2019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126D7" w14:textId="77777777" w:rsidR="00B861B6" w:rsidRPr="009D5815" w:rsidRDefault="00B861B6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29%</w:t>
            </w:r>
          </w:p>
        </w:tc>
      </w:tr>
      <w:tr w:rsidR="00B861B6" w:rsidRPr="009D5815" w14:paraId="73EB9F3C" w14:textId="77777777" w:rsidTr="00A02AE8">
        <w:trPr>
          <w:trHeight w:val="300"/>
        </w:trPr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0C1158" w14:textId="77777777" w:rsidR="00B861B6" w:rsidRPr="009D5815" w:rsidRDefault="00B861B6" w:rsidP="009E506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235C3" w14:textId="77777777" w:rsidR="00B861B6" w:rsidRPr="009D5815" w:rsidRDefault="00B861B6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54DAF" w14:textId="77777777" w:rsidR="00B861B6" w:rsidRPr="009D5815" w:rsidRDefault="00B861B6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8/23/2021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2163A" w14:textId="77777777" w:rsidR="00B861B6" w:rsidRPr="009D5815" w:rsidRDefault="00B861B6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30%</w:t>
            </w:r>
          </w:p>
        </w:tc>
      </w:tr>
      <w:tr w:rsidR="00B861B6" w:rsidRPr="009D5815" w14:paraId="47EFB7F0" w14:textId="77777777" w:rsidTr="00404DB4">
        <w:trPr>
          <w:trHeight w:val="300"/>
        </w:trPr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272E4" w14:textId="77777777" w:rsidR="00B861B6" w:rsidRPr="009D5815" w:rsidRDefault="00B861B6" w:rsidP="009E506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E8CA3" w14:textId="13554A23" w:rsidR="00B861B6" w:rsidRPr="009D5815" w:rsidRDefault="00B861B6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63423" w14:textId="0E0EF6C8" w:rsidR="00B861B6" w:rsidRPr="009D5815" w:rsidRDefault="00B861B6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5/31/2022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B0446" w14:textId="0561A180" w:rsidR="00B861B6" w:rsidRPr="009D5815" w:rsidRDefault="00B861B6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17%</w:t>
            </w:r>
          </w:p>
        </w:tc>
      </w:tr>
      <w:tr w:rsidR="00B861B6" w:rsidRPr="009D5815" w14:paraId="46EF607D" w14:textId="77777777" w:rsidTr="00A02AE8">
        <w:trPr>
          <w:trHeight w:val="300"/>
        </w:trPr>
        <w:tc>
          <w:tcPr>
            <w:tcW w:w="163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1520B0" w14:textId="77777777" w:rsidR="00B861B6" w:rsidRPr="009D5815" w:rsidRDefault="00B861B6" w:rsidP="009E506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3ABD8" w14:textId="31186E94" w:rsidR="00B861B6" w:rsidRPr="009D5815" w:rsidRDefault="00B861B6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4683E" w14:textId="3CEA10D3" w:rsidR="00B861B6" w:rsidRPr="009D5815" w:rsidRDefault="00B861B6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8/30/22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FFD25" w14:textId="122CEDB3" w:rsidR="00B861B6" w:rsidRPr="009D5815" w:rsidRDefault="00B861B6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18%</w:t>
            </w:r>
          </w:p>
        </w:tc>
      </w:tr>
      <w:tr w:rsidR="009E506A" w:rsidRPr="009D5815" w14:paraId="25E69657" w14:textId="77777777" w:rsidTr="009E506A">
        <w:trPr>
          <w:trHeight w:val="300"/>
        </w:trPr>
        <w:tc>
          <w:tcPr>
            <w:tcW w:w="4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8BDDA" w14:textId="77777777" w:rsidR="009E506A" w:rsidRPr="009D5815" w:rsidRDefault="009E506A" w:rsidP="009E506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Avg.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EA8342E" w14:textId="1861C389" w:rsidR="009E506A" w:rsidRPr="009D5815" w:rsidRDefault="009E506A" w:rsidP="009E50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</w:t>
            </w:r>
            <w:r w:rsidR="00785C9D"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6</w:t>
            </w: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%</w:t>
            </w:r>
          </w:p>
        </w:tc>
      </w:tr>
    </w:tbl>
    <w:p w14:paraId="35E8ACA5" w14:textId="5CF21BAB" w:rsidR="00C9534F" w:rsidRPr="009D5815" w:rsidRDefault="00C9534F" w:rsidP="00C9534F">
      <w:pPr>
        <w:rPr>
          <w:rFonts w:ascii="Garamond" w:hAnsi="Garamond"/>
          <w:b/>
          <w:bCs/>
          <w:sz w:val="20"/>
          <w:szCs w:val="20"/>
        </w:rPr>
      </w:pPr>
    </w:p>
    <w:tbl>
      <w:tblPr>
        <w:tblW w:w="5935" w:type="dxa"/>
        <w:tblLook w:val="04A0" w:firstRow="1" w:lastRow="0" w:firstColumn="1" w:lastColumn="0" w:noHBand="0" w:noVBand="1"/>
      </w:tblPr>
      <w:tblGrid>
        <w:gridCol w:w="1580"/>
        <w:gridCol w:w="1475"/>
        <w:gridCol w:w="1440"/>
        <w:gridCol w:w="1440"/>
      </w:tblGrid>
      <w:tr w:rsidR="00C34D91" w:rsidRPr="009D5815" w14:paraId="4C70B60E" w14:textId="77777777" w:rsidTr="00311685">
        <w:trPr>
          <w:trHeight w:val="6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83B9C6" w14:textId="77777777" w:rsidR="00C34D91" w:rsidRPr="009D5815" w:rsidRDefault="00C34D91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Focus Topic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7ACB41" w14:textId="77777777" w:rsidR="00C34D91" w:rsidRPr="009D5815" w:rsidRDefault="00C34D91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Issue #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D44CCA" w14:textId="77777777" w:rsidR="00C34D91" w:rsidRPr="009D5815" w:rsidRDefault="00C34D91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Publication Dates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92A280" w14:textId="77777777" w:rsidR="00C34D91" w:rsidRPr="009D5815" w:rsidRDefault="00C34D91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Unique Open Rate</w:t>
            </w:r>
          </w:p>
        </w:tc>
      </w:tr>
      <w:tr w:rsidR="00B861B6" w:rsidRPr="009D5815" w14:paraId="5222EDD7" w14:textId="77777777" w:rsidTr="00311685">
        <w:trPr>
          <w:trHeight w:val="300"/>
        </w:trPr>
        <w:tc>
          <w:tcPr>
            <w:tcW w:w="158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CE4D6"/>
            <w:hideMark/>
          </w:tcPr>
          <w:p w14:paraId="1B0521B6" w14:textId="77777777" w:rsidR="00B861B6" w:rsidRPr="009D5815" w:rsidRDefault="00B861B6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Adult Education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B08CD" w14:textId="77777777" w:rsidR="00B861B6" w:rsidRPr="009D5815" w:rsidRDefault="00B861B6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D7778" w14:textId="77777777" w:rsidR="00B861B6" w:rsidRPr="009D5815" w:rsidRDefault="00B861B6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10/19/2018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CE5A6" w14:textId="77777777" w:rsidR="00B861B6" w:rsidRPr="009D5815" w:rsidRDefault="00B861B6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29%</w:t>
            </w:r>
          </w:p>
        </w:tc>
      </w:tr>
      <w:tr w:rsidR="00B861B6" w:rsidRPr="009D5815" w14:paraId="72E63AE3" w14:textId="77777777" w:rsidTr="00311685">
        <w:trPr>
          <w:trHeight w:val="242"/>
        </w:trPr>
        <w:tc>
          <w:tcPr>
            <w:tcW w:w="15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210B3776" w14:textId="77777777" w:rsidR="00B861B6" w:rsidRPr="009D5815" w:rsidRDefault="00B861B6" w:rsidP="00C34D9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B61FD" w14:textId="77777777" w:rsidR="00B861B6" w:rsidRPr="009D5815" w:rsidRDefault="00B861B6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B029F" w14:textId="77777777" w:rsidR="00B861B6" w:rsidRPr="009D5815" w:rsidRDefault="00B861B6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9/29/2020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07431" w14:textId="77777777" w:rsidR="00B861B6" w:rsidRPr="009D5815" w:rsidRDefault="00B861B6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37%</w:t>
            </w:r>
          </w:p>
        </w:tc>
      </w:tr>
      <w:tr w:rsidR="00B861B6" w:rsidRPr="009D5815" w14:paraId="517502BE" w14:textId="77777777" w:rsidTr="00311685">
        <w:trPr>
          <w:trHeight w:val="269"/>
        </w:trPr>
        <w:tc>
          <w:tcPr>
            <w:tcW w:w="15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4AE24BC" w14:textId="77777777" w:rsidR="00B861B6" w:rsidRPr="009D5815" w:rsidRDefault="00B861B6" w:rsidP="00785C9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3FB44" w14:textId="37FB4CF2" w:rsidR="00B861B6" w:rsidRPr="009D5815" w:rsidRDefault="00B861B6" w:rsidP="00785C9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B37AB" w14:textId="3EC3B808" w:rsidR="00B861B6" w:rsidRPr="009D5815" w:rsidRDefault="00B861B6" w:rsidP="00785C9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6/3/2021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E37E67" w14:textId="7577D5C2" w:rsidR="00B861B6" w:rsidRPr="009D5815" w:rsidRDefault="00B861B6" w:rsidP="00785C9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33%</w:t>
            </w:r>
          </w:p>
        </w:tc>
      </w:tr>
      <w:tr w:rsidR="00B861B6" w:rsidRPr="009D5815" w14:paraId="49A6B070" w14:textId="77777777" w:rsidTr="00311685">
        <w:trPr>
          <w:trHeight w:val="251"/>
        </w:trPr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6E146C" w14:textId="77777777" w:rsidR="00B861B6" w:rsidRPr="009D5815" w:rsidRDefault="00B861B6" w:rsidP="00785C9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233BF" w14:textId="3E63CFB1" w:rsidR="00B861B6" w:rsidRPr="009D5815" w:rsidRDefault="00B861B6" w:rsidP="00785C9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80F4A" w14:textId="16238EA6" w:rsidR="00B861B6" w:rsidRPr="009D5815" w:rsidRDefault="00B861B6" w:rsidP="00785C9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4/26/2022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F48C0" w14:textId="409C6F36" w:rsidR="00B861B6" w:rsidRPr="009D5815" w:rsidRDefault="00B861B6" w:rsidP="00785C9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15%</w:t>
            </w:r>
          </w:p>
        </w:tc>
      </w:tr>
      <w:tr w:rsidR="00B861B6" w:rsidRPr="009D5815" w14:paraId="196C20D4" w14:textId="77777777" w:rsidTr="00311685">
        <w:trPr>
          <w:trHeight w:val="179"/>
        </w:trPr>
        <w:tc>
          <w:tcPr>
            <w:tcW w:w="1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07886C" w14:textId="77777777" w:rsidR="00B861B6" w:rsidRPr="009D5815" w:rsidRDefault="00B861B6" w:rsidP="00785C9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9787E" w14:textId="40DE05F1" w:rsidR="00B861B6" w:rsidRPr="009D5815" w:rsidRDefault="00B861B6" w:rsidP="00785C9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04AEB" w14:textId="4682CD09" w:rsidR="00B861B6" w:rsidRPr="009D5815" w:rsidRDefault="00B861B6" w:rsidP="00785C9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9/29/22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70EB5" w14:textId="05E67593" w:rsidR="00B861B6" w:rsidRPr="009D5815" w:rsidRDefault="00B861B6" w:rsidP="00785C9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32%</w:t>
            </w:r>
          </w:p>
        </w:tc>
      </w:tr>
      <w:tr w:rsidR="00785C9D" w:rsidRPr="009D5815" w14:paraId="2CB54AE5" w14:textId="77777777" w:rsidTr="00C34D91">
        <w:trPr>
          <w:trHeight w:val="300"/>
        </w:trPr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B857E" w14:textId="77777777" w:rsidR="00785C9D" w:rsidRPr="009D5815" w:rsidRDefault="00785C9D" w:rsidP="00785C9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Avg.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CCCED39" w14:textId="19E648B6" w:rsidR="00785C9D" w:rsidRPr="009D5815" w:rsidRDefault="00785C9D" w:rsidP="00785C9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29%</w:t>
            </w:r>
          </w:p>
        </w:tc>
      </w:tr>
      <w:tr w:rsidR="00785C9D" w:rsidRPr="009D5815" w14:paraId="3CB352DC" w14:textId="77777777" w:rsidTr="00C34D91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0CF5" w14:textId="77777777" w:rsidR="00785C9D" w:rsidRPr="009D5815" w:rsidRDefault="00785C9D" w:rsidP="00785C9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DDB6" w14:textId="77777777" w:rsidR="00785C9D" w:rsidRPr="009D5815" w:rsidRDefault="00785C9D" w:rsidP="00785C9D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4643" w14:textId="77777777" w:rsidR="00785C9D" w:rsidRPr="009D5815" w:rsidRDefault="00785C9D" w:rsidP="00785C9D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6C8E" w14:textId="77777777" w:rsidR="00785C9D" w:rsidRPr="009D5815" w:rsidRDefault="00785C9D" w:rsidP="00785C9D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785C9D" w:rsidRPr="009D5815" w14:paraId="14C8BC30" w14:textId="77777777" w:rsidTr="00C34D91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A281" w14:textId="77777777" w:rsidR="00785C9D" w:rsidRPr="009D5815" w:rsidRDefault="00785C9D" w:rsidP="00785C9D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0DE0" w14:textId="77777777" w:rsidR="00785C9D" w:rsidRPr="009D5815" w:rsidRDefault="00785C9D" w:rsidP="00785C9D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0A23" w14:textId="77777777" w:rsidR="00785C9D" w:rsidRPr="009D5815" w:rsidRDefault="00785C9D" w:rsidP="00785C9D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D0A9" w14:textId="77777777" w:rsidR="00785C9D" w:rsidRPr="009D5815" w:rsidRDefault="00785C9D" w:rsidP="00785C9D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785C9D" w:rsidRPr="009D5815" w14:paraId="59A1F6C0" w14:textId="77777777" w:rsidTr="006707A9">
        <w:trPr>
          <w:trHeight w:val="6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E83A47" w14:textId="77777777" w:rsidR="00785C9D" w:rsidRPr="009D5815" w:rsidRDefault="00785C9D" w:rsidP="00785C9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Focus Topic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10A284" w14:textId="77777777" w:rsidR="00785C9D" w:rsidRPr="009D5815" w:rsidRDefault="00785C9D" w:rsidP="00785C9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Issue #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376B02" w14:textId="77777777" w:rsidR="00785C9D" w:rsidRPr="009D5815" w:rsidRDefault="00785C9D" w:rsidP="00785C9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Publication Dates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110963" w14:textId="77777777" w:rsidR="00785C9D" w:rsidRPr="009D5815" w:rsidRDefault="00785C9D" w:rsidP="00785C9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Unique Open Rate</w:t>
            </w:r>
          </w:p>
        </w:tc>
      </w:tr>
      <w:tr w:rsidR="00785C9D" w:rsidRPr="009D5815" w14:paraId="5479AB48" w14:textId="77777777" w:rsidTr="00284FCD">
        <w:trPr>
          <w:trHeight w:val="300"/>
        </w:trPr>
        <w:tc>
          <w:tcPr>
            <w:tcW w:w="1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5841125" w14:textId="77777777" w:rsidR="00785C9D" w:rsidRPr="009D5815" w:rsidRDefault="00785C9D" w:rsidP="00785C9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EARN Maryland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299C6" w14:textId="77777777" w:rsidR="00785C9D" w:rsidRPr="009D5815" w:rsidRDefault="00785C9D" w:rsidP="00785C9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218E5" w14:textId="77777777" w:rsidR="00785C9D" w:rsidRPr="009D5815" w:rsidRDefault="00785C9D" w:rsidP="00785C9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3/24/2021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1EC78" w14:textId="77777777" w:rsidR="00785C9D" w:rsidRPr="009D5815" w:rsidRDefault="00785C9D" w:rsidP="00785C9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13%</w:t>
            </w:r>
          </w:p>
        </w:tc>
      </w:tr>
      <w:tr w:rsidR="00785C9D" w:rsidRPr="009D5815" w14:paraId="72F7477C" w14:textId="77777777" w:rsidTr="00284FCD">
        <w:trPr>
          <w:trHeight w:val="300"/>
        </w:trPr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D461" w14:textId="77777777" w:rsidR="00785C9D" w:rsidRPr="009D5815" w:rsidRDefault="00785C9D" w:rsidP="00785C9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C644E" w14:textId="77777777" w:rsidR="00785C9D" w:rsidRPr="009D5815" w:rsidRDefault="00785C9D" w:rsidP="00785C9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0E0B8" w14:textId="77777777" w:rsidR="00785C9D" w:rsidRPr="009D5815" w:rsidRDefault="00785C9D" w:rsidP="00785C9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2/22/2022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9F19F" w14:textId="77777777" w:rsidR="00785C9D" w:rsidRPr="009D5815" w:rsidRDefault="00785C9D" w:rsidP="00785C9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17%</w:t>
            </w:r>
          </w:p>
        </w:tc>
      </w:tr>
      <w:tr w:rsidR="00785C9D" w:rsidRPr="009D5815" w14:paraId="24AFD76B" w14:textId="77777777" w:rsidTr="00311685">
        <w:trPr>
          <w:trHeight w:val="40"/>
        </w:trPr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C79A" w14:textId="77777777" w:rsidR="00785C9D" w:rsidRPr="009D5815" w:rsidRDefault="00785C9D" w:rsidP="00785C9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35C9" w14:textId="65590E2A" w:rsidR="00785C9D" w:rsidRPr="009D5815" w:rsidRDefault="00785C9D" w:rsidP="00785C9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24DDD" w14:textId="2216F245" w:rsidR="00785C9D" w:rsidRPr="009D5815" w:rsidRDefault="00785C9D" w:rsidP="00785C9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1FC10" w14:textId="77777777" w:rsidR="00785C9D" w:rsidRPr="009D5815" w:rsidRDefault="00785C9D" w:rsidP="00785C9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</w:tr>
      <w:tr w:rsidR="00785C9D" w:rsidRPr="009D5815" w14:paraId="77035339" w14:textId="77777777" w:rsidTr="00C34D91">
        <w:trPr>
          <w:trHeight w:val="300"/>
        </w:trPr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E6160" w14:textId="77777777" w:rsidR="00785C9D" w:rsidRPr="009D5815" w:rsidRDefault="00785C9D" w:rsidP="00785C9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Avg.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26A6721" w14:textId="77777777" w:rsidR="00785C9D" w:rsidRPr="009D5815" w:rsidRDefault="00785C9D" w:rsidP="00785C9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15%</w:t>
            </w:r>
          </w:p>
        </w:tc>
      </w:tr>
    </w:tbl>
    <w:p w14:paraId="4F1C56E5" w14:textId="1AA28206" w:rsidR="00C34D91" w:rsidRPr="009D5815" w:rsidRDefault="00C34D91" w:rsidP="00C9534F">
      <w:pPr>
        <w:rPr>
          <w:rFonts w:ascii="Garamond" w:hAnsi="Garamond"/>
          <w:b/>
          <w:bCs/>
          <w:sz w:val="20"/>
          <w:szCs w:val="20"/>
        </w:rPr>
      </w:pPr>
    </w:p>
    <w:tbl>
      <w:tblPr>
        <w:tblW w:w="5935" w:type="dxa"/>
        <w:tblLook w:val="04A0" w:firstRow="1" w:lastRow="0" w:firstColumn="1" w:lastColumn="0" w:noHBand="0" w:noVBand="1"/>
      </w:tblPr>
      <w:tblGrid>
        <w:gridCol w:w="1400"/>
        <w:gridCol w:w="1400"/>
        <w:gridCol w:w="1695"/>
        <w:gridCol w:w="1440"/>
      </w:tblGrid>
      <w:tr w:rsidR="00C34D91" w:rsidRPr="009D5815" w14:paraId="0E5E0C98" w14:textId="77777777" w:rsidTr="00B861B6">
        <w:trPr>
          <w:trHeight w:val="6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751842" w14:textId="77777777" w:rsidR="00C34D91" w:rsidRPr="009D5815" w:rsidRDefault="00C34D91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Focus Topic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30687A" w14:textId="77777777" w:rsidR="00C34D91" w:rsidRPr="009D5815" w:rsidRDefault="00C34D91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Issue #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24FB9F" w14:textId="77777777" w:rsidR="00C34D91" w:rsidRPr="009D5815" w:rsidRDefault="00C34D91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Publication Dates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D5BA6F" w14:textId="77777777" w:rsidR="00C34D91" w:rsidRPr="009D5815" w:rsidRDefault="00C34D91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Unique Open Rate</w:t>
            </w:r>
          </w:p>
        </w:tc>
      </w:tr>
      <w:tr w:rsidR="00C34D91" w:rsidRPr="009D5815" w14:paraId="16FE6D01" w14:textId="77777777" w:rsidTr="00B861B6">
        <w:trPr>
          <w:trHeight w:val="300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915D5A5" w14:textId="77777777" w:rsidR="00C34D91" w:rsidRPr="009D5815" w:rsidRDefault="00C34D91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Department of Human Services Programs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1FE25" w14:textId="77777777" w:rsidR="00C34D91" w:rsidRPr="009D5815" w:rsidRDefault="00C34D91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FBE29" w14:textId="77777777" w:rsidR="00C34D91" w:rsidRPr="009D5815" w:rsidRDefault="00C34D91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11/20/2018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F1A3C" w14:textId="77777777" w:rsidR="00C34D91" w:rsidRPr="009D5815" w:rsidRDefault="00C34D91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25%</w:t>
            </w:r>
          </w:p>
        </w:tc>
      </w:tr>
      <w:tr w:rsidR="00C34D91" w:rsidRPr="009D5815" w14:paraId="57D0081D" w14:textId="77777777" w:rsidTr="00B861B6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86EC" w14:textId="77777777" w:rsidR="00C34D91" w:rsidRPr="009D5815" w:rsidRDefault="00C34D91" w:rsidP="00C34D9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CD11F" w14:textId="77777777" w:rsidR="00C34D91" w:rsidRPr="009D5815" w:rsidRDefault="00C34D91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F4D61" w14:textId="77777777" w:rsidR="00C34D91" w:rsidRPr="009D5815" w:rsidRDefault="00C34D91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4/22/2019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86824" w14:textId="77777777" w:rsidR="00C34D91" w:rsidRPr="009D5815" w:rsidRDefault="00C34D91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15%</w:t>
            </w:r>
          </w:p>
        </w:tc>
      </w:tr>
      <w:tr w:rsidR="00C34D91" w:rsidRPr="009D5815" w14:paraId="53253612" w14:textId="77777777" w:rsidTr="00B861B6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34F9" w14:textId="77777777" w:rsidR="00C34D91" w:rsidRPr="009D5815" w:rsidRDefault="00C34D91" w:rsidP="00C34D9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18A4" w14:textId="77777777" w:rsidR="00C34D91" w:rsidRPr="009D5815" w:rsidRDefault="00C34D91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F96E" w14:textId="77777777" w:rsidR="00C34D91" w:rsidRPr="009D5815" w:rsidRDefault="00C34D91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12/5/2019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FF776" w14:textId="77777777" w:rsidR="00C34D91" w:rsidRPr="009D5815" w:rsidRDefault="00C34D91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24%</w:t>
            </w:r>
          </w:p>
        </w:tc>
      </w:tr>
      <w:tr w:rsidR="00C34D91" w:rsidRPr="009D5815" w14:paraId="35E6FE9A" w14:textId="77777777" w:rsidTr="00B861B6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1FF6" w14:textId="77777777" w:rsidR="00C34D91" w:rsidRPr="009D5815" w:rsidRDefault="00C34D91" w:rsidP="00C34D9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F0EE3" w14:textId="77777777" w:rsidR="00C34D91" w:rsidRPr="009D5815" w:rsidRDefault="00C34D91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F13C" w14:textId="77777777" w:rsidR="00C34D91" w:rsidRPr="009D5815" w:rsidRDefault="00C34D91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2/27/2020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54B50" w14:textId="77777777" w:rsidR="00C34D91" w:rsidRPr="009D5815" w:rsidRDefault="00C34D91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27%</w:t>
            </w:r>
          </w:p>
        </w:tc>
      </w:tr>
      <w:tr w:rsidR="00C34D91" w:rsidRPr="009D5815" w14:paraId="4C7CB233" w14:textId="77777777" w:rsidTr="00B861B6">
        <w:trPr>
          <w:trHeight w:val="300"/>
        </w:trPr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18CF" w14:textId="77777777" w:rsidR="00C34D91" w:rsidRPr="009D5815" w:rsidRDefault="00C34D91" w:rsidP="00C34D9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Avg.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63EA640" w14:textId="77777777" w:rsidR="00C34D91" w:rsidRPr="009D5815" w:rsidRDefault="00C34D91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23%</w:t>
            </w:r>
          </w:p>
        </w:tc>
      </w:tr>
      <w:tr w:rsidR="00C34D91" w:rsidRPr="009D5815" w14:paraId="5D1ACD63" w14:textId="77777777" w:rsidTr="00B861B6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3D45" w14:textId="77777777" w:rsidR="00C34D91" w:rsidRPr="009D5815" w:rsidRDefault="00C34D91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6BBC" w14:textId="77777777" w:rsidR="00C34D91" w:rsidRPr="009D5815" w:rsidRDefault="00C34D91" w:rsidP="00C34D9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0C2D" w14:textId="77777777" w:rsidR="00C34D91" w:rsidRPr="009D5815" w:rsidRDefault="00C34D91" w:rsidP="00C34D9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DE02" w14:textId="77777777" w:rsidR="00C34D91" w:rsidRPr="009D5815" w:rsidRDefault="00C34D91" w:rsidP="00C34D9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C34D91" w:rsidRPr="009D5815" w14:paraId="355B9316" w14:textId="77777777" w:rsidTr="00B861B6">
        <w:trPr>
          <w:trHeight w:val="6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4646EC" w14:textId="77777777" w:rsidR="00C34D91" w:rsidRPr="009D5815" w:rsidRDefault="00C34D91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Focus Topic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1BC484" w14:textId="77777777" w:rsidR="00C34D91" w:rsidRPr="009D5815" w:rsidRDefault="00C34D91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Issue #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4EF4AA" w14:textId="77777777" w:rsidR="00C34D91" w:rsidRPr="009D5815" w:rsidRDefault="00C34D91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Publication Dates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0CE936" w14:textId="77777777" w:rsidR="00C34D91" w:rsidRPr="009D5815" w:rsidRDefault="00C34D91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Unique Open Rate</w:t>
            </w:r>
          </w:p>
        </w:tc>
      </w:tr>
      <w:tr w:rsidR="009E506A" w:rsidRPr="009D5815" w14:paraId="443073FF" w14:textId="77777777" w:rsidTr="00B861B6">
        <w:trPr>
          <w:trHeight w:val="300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5267E00" w14:textId="2C8A64AE" w:rsidR="009E506A" w:rsidRPr="009D5815" w:rsidRDefault="00311685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Employment Services for Individuals with Disabilities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C72A9" w14:textId="77777777" w:rsidR="009E506A" w:rsidRPr="009D5815" w:rsidRDefault="009E506A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77AC2" w14:textId="77777777" w:rsidR="009E506A" w:rsidRPr="009D5815" w:rsidRDefault="009E506A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8/1/2019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D5B9D" w14:textId="77777777" w:rsidR="009E506A" w:rsidRPr="009D5815" w:rsidRDefault="009E506A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30%</w:t>
            </w:r>
          </w:p>
        </w:tc>
      </w:tr>
      <w:tr w:rsidR="009E506A" w:rsidRPr="009D5815" w14:paraId="08946763" w14:textId="77777777" w:rsidTr="00B861B6">
        <w:trPr>
          <w:trHeight w:val="300"/>
        </w:trPr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DECEF0" w14:textId="77777777" w:rsidR="009E506A" w:rsidRPr="009D5815" w:rsidRDefault="009E506A" w:rsidP="00C34D9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583BD" w14:textId="77777777" w:rsidR="009E506A" w:rsidRPr="009D5815" w:rsidRDefault="009E506A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BA620" w14:textId="77777777" w:rsidR="009E506A" w:rsidRPr="009D5815" w:rsidRDefault="009E506A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11/1/2019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109DF" w14:textId="77777777" w:rsidR="009E506A" w:rsidRPr="009D5815" w:rsidRDefault="009E506A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26%</w:t>
            </w:r>
          </w:p>
        </w:tc>
      </w:tr>
      <w:tr w:rsidR="009E506A" w:rsidRPr="009D5815" w14:paraId="588772F0" w14:textId="77777777" w:rsidTr="00311685">
        <w:trPr>
          <w:trHeight w:val="300"/>
        </w:trPr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4EFD5B" w14:textId="77777777" w:rsidR="009E506A" w:rsidRPr="009D5815" w:rsidRDefault="009E506A" w:rsidP="00C34D9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7556" w14:textId="77777777" w:rsidR="009E506A" w:rsidRPr="009D5815" w:rsidRDefault="009E506A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1F95" w14:textId="77777777" w:rsidR="009E506A" w:rsidRPr="009D5815" w:rsidRDefault="009E506A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10/22/2020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C91F0" w14:textId="77777777" w:rsidR="009E506A" w:rsidRPr="009D5815" w:rsidRDefault="009E506A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13%</w:t>
            </w:r>
          </w:p>
        </w:tc>
      </w:tr>
      <w:tr w:rsidR="009E506A" w:rsidRPr="009D5815" w14:paraId="67FC1754" w14:textId="77777777" w:rsidTr="00311685">
        <w:trPr>
          <w:trHeight w:val="300"/>
        </w:trPr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51375A" w14:textId="77777777" w:rsidR="009E506A" w:rsidRPr="009D5815" w:rsidRDefault="009E506A" w:rsidP="00C34D9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5738D" w14:textId="77777777" w:rsidR="009E506A" w:rsidRPr="009D5815" w:rsidRDefault="009E506A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CBBA" w14:textId="77777777" w:rsidR="009E506A" w:rsidRPr="009D5815" w:rsidRDefault="009E506A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10/26/2021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80CE" w14:textId="77777777" w:rsidR="009E506A" w:rsidRPr="009D5815" w:rsidRDefault="009E506A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9%</w:t>
            </w:r>
          </w:p>
        </w:tc>
      </w:tr>
      <w:tr w:rsidR="009E506A" w:rsidRPr="009D5815" w14:paraId="3987C35E" w14:textId="77777777" w:rsidTr="00311685">
        <w:trPr>
          <w:trHeight w:val="300"/>
        </w:trPr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33BB" w14:textId="77777777" w:rsidR="009E506A" w:rsidRPr="009D5815" w:rsidRDefault="009E506A" w:rsidP="00C34D9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F95731" w14:textId="446C4FAB" w:rsidR="009E506A" w:rsidRPr="009D5815" w:rsidRDefault="00B861B6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2A680" w14:textId="4275E6F7" w:rsidR="009E506A" w:rsidRPr="009D5815" w:rsidRDefault="00B861B6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10/25/22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A6314" w14:textId="5538034A" w:rsidR="009E506A" w:rsidRPr="009D5815" w:rsidRDefault="00B861B6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31%</w:t>
            </w:r>
          </w:p>
        </w:tc>
      </w:tr>
      <w:tr w:rsidR="00C34D91" w:rsidRPr="009D5815" w14:paraId="04C38D0D" w14:textId="77777777" w:rsidTr="00B861B6">
        <w:trPr>
          <w:trHeight w:val="300"/>
        </w:trPr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7F012" w14:textId="77777777" w:rsidR="00C34D91" w:rsidRPr="009D5815" w:rsidRDefault="00C34D91" w:rsidP="00C34D9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Avg.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A61CB5E" w14:textId="1F340892" w:rsidR="00C34D91" w:rsidRPr="009D5815" w:rsidRDefault="00C34D91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</w:t>
            </w:r>
            <w:r w:rsidR="00B861B6"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</w:t>
            </w: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%</w:t>
            </w:r>
          </w:p>
        </w:tc>
      </w:tr>
    </w:tbl>
    <w:p w14:paraId="4E3CB5C9" w14:textId="5D06CC2A" w:rsidR="00C34D91" w:rsidRPr="009D5815" w:rsidRDefault="00C34D91" w:rsidP="00C9534F">
      <w:pPr>
        <w:rPr>
          <w:rFonts w:ascii="Garamond" w:hAnsi="Garamond"/>
          <w:b/>
          <w:bCs/>
          <w:sz w:val="20"/>
          <w:szCs w:val="20"/>
        </w:rPr>
      </w:pPr>
    </w:p>
    <w:tbl>
      <w:tblPr>
        <w:tblW w:w="5935" w:type="dxa"/>
        <w:tblLook w:val="04A0" w:firstRow="1" w:lastRow="0" w:firstColumn="1" w:lastColumn="0" w:noHBand="0" w:noVBand="1"/>
      </w:tblPr>
      <w:tblGrid>
        <w:gridCol w:w="1435"/>
        <w:gridCol w:w="1350"/>
        <w:gridCol w:w="1710"/>
        <w:gridCol w:w="1440"/>
      </w:tblGrid>
      <w:tr w:rsidR="00C34D91" w:rsidRPr="009D5815" w14:paraId="14FA6A5E" w14:textId="77777777" w:rsidTr="00B861B6">
        <w:trPr>
          <w:trHeight w:val="60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F18B83" w14:textId="77777777" w:rsidR="00C34D91" w:rsidRPr="009D5815" w:rsidRDefault="00C34D91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Focus Topic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81D4F8" w14:textId="77777777" w:rsidR="00C34D91" w:rsidRPr="009D5815" w:rsidRDefault="00C34D91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Issue #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D3E04C" w14:textId="77777777" w:rsidR="00C34D91" w:rsidRPr="009D5815" w:rsidRDefault="00C34D91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Publication Dates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5091EA" w14:textId="77777777" w:rsidR="00C34D91" w:rsidRPr="009D5815" w:rsidRDefault="00C34D91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Unique Open Rate</w:t>
            </w:r>
          </w:p>
        </w:tc>
      </w:tr>
      <w:tr w:rsidR="009E506A" w:rsidRPr="009D5815" w14:paraId="74E340B0" w14:textId="77777777" w:rsidTr="00B861B6">
        <w:trPr>
          <w:trHeight w:val="300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5CF6001" w14:textId="77777777" w:rsidR="009E506A" w:rsidRPr="009D5815" w:rsidRDefault="009E506A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Youth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2E79E" w14:textId="77777777" w:rsidR="009E506A" w:rsidRPr="009D5815" w:rsidRDefault="009E506A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C8FC3" w14:textId="77777777" w:rsidR="009E506A" w:rsidRPr="009D5815" w:rsidRDefault="009E506A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8/1/2019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3ECE1" w14:textId="77777777" w:rsidR="009E506A" w:rsidRPr="009D5815" w:rsidRDefault="009E506A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30%</w:t>
            </w:r>
          </w:p>
        </w:tc>
      </w:tr>
      <w:tr w:rsidR="009E506A" w:rsidRPr="009D5815" w14:paraId="313F2385" w14:textId="77777777" w:rsidTr="00B861B6">
        <w:trPr>
          <w:trHeight w:val="300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358EAE" w14:textId="77777777" w:rsidR="009E506A" w:rsidRPr="009D5815" w:rsidRDefault="009E506A" w:rsidP="00C34D9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F9509" w14:textId="77777777" w:rsidR="009E506A" w:rsidRPr="009D5815" w:rsidRDefault="009E506A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53C5B" w14:textId="77777777" w:rsidR="009E506A" w:rsidRPr="009D5815" w:rsidRDefault="009E506A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9/24/2019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950D7" w14:textId="77777777" w:rsidR="009E506A" w:rsidRPr="009D5815" w:rsidRDefault="009E506A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30%</w:t>
            </w:r>
          </w:p>
        </w:tc>
      </w:tr>
      <w:tr w:rsidR="009E506A" w:rsidRPr="009D5815" w14:paraId="469B9714" w14:textId="77777777" w:rsidTr="00B861B6">
        <w:trPr>
          <w:trHeight w:val="300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426FDE" w14:textId="77777777" w:rsidR="009E506A" w:rsidRPr="009D5815" w:rsidRDefault="009E506A" w:rsidP="00C34D9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A8D96" w14:textId="77777777" w:rsidR="009E506A" w:rsidRPr="009D5815" w:rsidRDefault="009E506A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68996" w14:textId="77777777" w:rsidR="009E506A" w:rsidRPr="009D5815" w:rsidRDefault="009E506A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8/6/2021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90E05" w14:textId="77777777" w:rsidR="009E506A" w:rsidRPr="009D5815" w:rsidRDefault="009E506A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10%</w:t>
            </w:r>
          </w:p>
        </w:tc>
      </w:tr>
      <w:tr w:rsidR="009E506A" w:rsidRPr="009D5815" w14:paraId="2522F551" w14:textId="77777777" w:rsidTr="00B861B6">
        <w:trPr>
          <w:trHeight w:val="300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5C7855" w14:textId="77777777" w:rsidR="009E506A" w:rsidRPr="009D5815" w:rsidRDefault="009E506A" w:rsidP="00C34D9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100DC" w14:textId="20E1190A" w:rsidR="009E506A" w:rsidRPr="009D5815" w:rsidRDefault="00785C9D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AE9AB" w14:textId="5993D6FB" w:rsidR="009E506A" w:rsidRPr="009D5815" w:rsidRDefault="00785C9D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7/5/22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2F9B9" w14:textId="67BEF784" w:rsidR="009E506A" w:rsidRPr="009D5815" w:rsidRDefault="00785C9D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17%</w:t>
            </w:r>
          </w:p>
        </w:tc>
      </w:tr>
      <w:tr w:rsidR="00C34D91" w:rsidRPr="009D5815" w14:paraId="46242760" w14:textId="77777777" w:rsidTr="00B861B6">
        <w:trPr>
          <w:trHeight w:val="300"/>
        </w:trPr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9FFBC1F" w14:textId="77777777" w:rsidR="00C34D91" w:rsidRPr="009D5815" w:rsidRDefault="00C34D91" w:rsidP="00C34D9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Avg.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42E0D3A5" w14:textId="412BB2CF" w:rsidR="00C34D91" w:rsidRPr="009D5815" w:rsidRDefault="00C34D91" w:rsidP="00C34D9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</w:t>
            </w:r>
            <w:r w:rsidR="00785C9D"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</w:t>
            </w: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%</w:t>
            </w:r>
          </w:p>
        </w:tc>
      </w:tr>
    </w:tbl>
    <w:p w14:paraId="68D35A0C" w14:textId="4DE2D32B" w:rsidR="00C34D91" w:rsidRPr="009D5815" w:rsidRDefault="00C34D91" w:rsidP="00C9534F">
      <w:pPr>
        <w:rPr>
          <w:rFonts w:ascii="Garamond" w:hAnsi="Garamond"/>
          <w:b/>
          <w:bCs/>
          <w:sz w:val="20"/>
          <w:szCs w:val="20"/>
        </w:rPr>
      </w:pPr>
    </w:p>
    <w:tbl>
      <w:tblPr>
        <w:tblW w:w="5935" w:type="dxa"/>
        <w:tblLook w:val="04A0" w:firstRow="1" w:lastRow="0" w:firstColumn="1" w:lastColumn="0" w:noHBand="0" w:noVBand="1"/>
      </w:tblPr>
      <w:tblGrid>
        <w:gridCol w:w="1435"/>
        <w:gridCol w:w="1350"/>
        <w:gridCol w:w="1710"/>
        <w:gridCol w:w="1440"/>
      </w:tblGrid>
      <w:tr w:rsidR="009E506A" w:rsidRPr="009D5815" w14:paraId="7EE2A7F2" w14:textId="77777777" w:rsidTr="00B861B6">
        <w:trPr>
          <w:trHeight w:val="60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ADC8C5" w14:textId="77777777" w:rsidR="009E506A" w:rsidRPr="009D5815" w:rsidRDefault="009E506A" w:rsidP="00C21A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Focus Topic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FC1006" w14:textId="77777777" w:rsidR="009E506A" w:rsidRPr="009D5815" w:rsidRDefault="009E506A" w:rsidP="00C21A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Issue #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FF8394" w14:textId="77777777" w:rsidR="009E506A" w:rsidRPr="009D5815" w:rsidRDefault="009E506A" w:rsidP="00C21A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Publication Dates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67B6F5" w14:textId="77777777" w:rsidR="009E506A" w:rsidRPr="009D5815" w:rsidRDefault="009E506A" w:rsidP="00C21A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Unique Open Rate</w:t>
            </w:r>
          </w:p>
        </w:tc>
      </w:tr>
      <w:tr w:rsidR="009E506A" w:rsidRPr="009D5815" w14:paraId="7E47080F" w14:textId="77777777" w:rsidTr="00B861B6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5851F20A" w14:textId="608959D3" w:rsidR="009E506A" w:rsidRPr="009D5815" w:rsidRDefault="009E506A" w:rsidP="00C21A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Senior Community Services Employment Program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F3EAD" w14:textId="327A14B5" w:rsidR="009E506A" w:rsidRPr="009D5815" w:rsidRDefault="009E506A" w:rsidP="00C21A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452E7" w14:textId="34AE7134" w:rsidR="009E506A" w:rsidRPr="009D5815" w:rsidRDefault="009E506A" w:rsidP="00C21A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1/25/2022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D62DF" w14:textId="785E395A" w:rsidR="009E506A" w:rsidRPr="009D5815" w:rsidRDefault="009E506A" w:rsidP="00C21A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33%</w:t>
            </w:r>
          </w:p>
        </w:tc>
      </w:tr>
      <w:tr w:rsidR="009E506A" w:rsidRPr="009D5815" w14:paraId="2DF2E071" w14:textId="77777777" w:rsidTr="00B861B6">
        <w:trPr>
          <w:trHeight w:val="300"/>
        </w:trPr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C432FAF" w14:textId="77777777" w:rsidR="009E506A" w:rsidRPr="009D5815" w:rsidRDefault="009E506A" w:rsidP="00C21A6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Avg.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288914E2" w14:textId="79380DE4" w:rsidR="009E506A" w:rsidRPr="009D5815" w:rsidRDefault="009E506A" w:rsidP="00C21A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33%</w:t>
            </w:r>
          </w:p>
        </w:tc>
      </w:tr>
    </w:tbl>
    <w:p w14:paraId="11CBE7AC" w14:textId="56837D29" w:rsidR="009E506A" w:rsidRPr="009D5815" w:rsidRDefault="009E506A" w:rsidP="00C9534F">
      <w:pPr>
        <w:rPr>
          <w:rFonts w:ascii="Garamond" w:hAnsi="Garamond"/>
          <w:b/>
          <w:bCs/>
          <w:sz w:val="20"/>
          <w:szCs w:val="20"/>
        </w:rPr>
      </w:pPr>
    </w:p>
    <w:tbl>
      <w:tblPr>
        <w:tblW w:w="5935" w:type="dxa"/>
        <w:tblLook w:val="04A0" w:firstRow="1" w:lastRow="0" w:firstColumn="1" w:lastColumn="0" w:noHBand="0" w:noVBand="1"/>
      </w:tblPr>
      <w:tblGrid>
        <w:gridCol w:w="1435"/>
        <w:gridCol w:w="1350"/>
        <w:gridCol w:w="1440"/>
        <w:gridCol w:w="1710"/>
      </w:tblGrid>
      <w:tr w:rsidR="00785C9D" w:rsidRPr="009D5815" w14:paraId="36BB0760" w14:textId="77777777" w:rsidTr="00EF10D5">
        <w:trPr>
          <w:trHeight w:val="60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DCDB79" w14:textId="77777777" w:rsidR="00785C9D" w:rsidRPr="009D5815" w:rsidRDefault="00785C9D" w:rsidP="00C21A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Focus Topic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DC7239" w14:textId="77777777" w:rsidR="00785C9D" w:rsidRPr="009D5815" w:rsidRDefault="00785C9D" w:rsidP="00C21A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Issue #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16B033" w14:textId="77777777" w:rsidR="00785C9D" w:rsidRPr="009D5815" w:rsidRDefault="00785C9D" w:rsidP="00C21A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Publication Dates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728DEA" w14:textId="77777777" w:rsidR="00785C9D" w:rsidRPr="009D5815" w:rsidRDefault="00785C9D" w:rsidP="00C21A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Unique Open Rate</w:t>
            </w:r>
          </w:p>
        </w:tc>
      </w:tr>
      <w:tr w:rsidR="00785C9D" w:rsidRPr="009D5815" w14:paraId="75A23086" w14:textId="77777777" w:rsidTr="00EF10D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016BEA6" w14:textId="43A812E7" w:rsidR="00785C9D" w:rsidRPr="009D5815" w:rsidRDefault="00785C9D" w:rsidP="00C21A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 xml:space="preserve">Women’s History Month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CB8CD" w14:textId="2A469628" w:rsidR="00785C9D" w:rsidRPr="009D5815" w:rsidRDefault="00785C9D" w:rsidP="00C21A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A69C9" w14:textId="1A1D249A" w:rsidR="00785C9D" w:rsidRPr="009D5815" w:rsidRDefault="00785C9D" w:rsidP="00C21A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3/29/2022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931A5" w14:textId="297734C0" w:rsidR="00785C9D" w:rsidRPr="009D5815" w:rsidRDefault="00785C9D" w:rsidP="00C21A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34%</w:t>
            </w:r>
          </w:p>
        </w:tc>
      </w:tr>
      <w:tr w:rsidR="00785C9D" w:rsidRPr="009D5815" w14:paraId="56D95CAA" w14:textId="77777777" w:rsidTr="00EF10D5">
        <w:trPr>
          <w:trHeight w:val="300"/>
        </w:trPr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A2C7D9D" w14:textId="77777777" w:rsidR="00785C9D" w:rsidRPr="009D5815" w:rsidRDefault="00785C9D" w:rsidP="00C21A6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Avg.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47DBD078" w14:textId="7F90AF49" w:rsidR="00785C9D" w:rsidRPr="009D5815" w:rsidRDefault="00785C9D" w:rsidP="00C21A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9D5815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34%</w:t>
            </w:r>
          </w:p>
        </w:tc>
      </w:tr>
    </w:tbl>
    <w:p w14:paraId="0D657945" w14:textId="77777777" w:rsidR="009E506A" w:rsidRPr="009D5815" w:rsidRDefault="009E506A" w:rsidP="00C9534F">
      <w:pPr>
        <w:rPr>
          <w:rFonts w:ascii="Garamond" w:hAnsi="Garamond"/>
          <w:b/>
          <w:bCs/>
          <w:sz w:val="20"/>
          <w:szCs w:val="20"/>
        </w:rPr>
      </w:pPr>
    </w:p>
    <w:sectPr w:rsidR="009E506A" w:rsidRPr="009D5815" w:rsidSect="0082526B">
      <w:footerReference w:type="default" r:id="rId13"/>
      <w:pgSz w:w="12240" w:h="15840"/>
      <w:pgMar w:top="720" w:right="1620" w:bottom="3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9DA96" w14:textId="77777777" w:rsidR="0001570D" w:rsidRDefault="0001570D" w:rsidP="009E1DDC">
      <w:pPr>
        <w:spacing w:after="0" w:line="240" w:lineRule="auto"/>
      </w:pPr>
      <w:r>
        <w:separator/>
      </w:r>
    </w:p>
  </w:endnote>
  <w:endnote w:type="continuationSeparator" w:id="0">
    <w:p w14:paraId="775FCDAD" w14:textId="77777777" w:rsidR="0001570D" w:rsidRDefault="0001570D" w:rsidP="009E1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34044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5683C7" w14:textId="77C8E074" w:rsidR="0082526B" w:rsidRDefault="008252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15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0EC6EA" w14:textId="6366937E" w:rsidR="009E1DDC" w:rsidRDefault="009E1DDC" w:rsidP="009E1DD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38B06" w14:textId="77777777" w:rsidR="0001570D" w:rsidRDefault="0001570D" w:rsidP="009E1DDC">
      <w:pPr>
        <w:spacing w:after="0" w:line="240" w:lineRule="auto"/>
      </w:pPr>
      <w:r>
        <w:separator/>
      </w:r>
    </w:p>
  </w:footnote>
  <w:footnote w:type="continuationSeparator" w:id="0">
    <w:p w14:paraId="6B50B5B9" w14:textId="77777777" w:rsidR="0001570D" w:rsidRDefault="0001570D" w:rsidP="009E1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A1207"/>
    <w:multiLevelType w:val="hybridMultilevel"/>
    <w:tmpl w:val="80C4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71A8E"/>
    <w:multiLevelType w:val="hybridMultilevel"/>
    <w:tmpl w:val="F29E2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50764"/>
    <w:multiLevelType w:val="hybridMultilevel"/>
    <w:tmpl w:val="6F103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6BA5"/>
    <w:multiLevelType w:val="hybridMultilevel"/>
    <w:tmpl w:val="CDBC5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273412">
    <w:abstractNumId w:val="0"/>
  </w:num>
  <w:num w:numId="2" w16cid:durableId="44985624">
    <w:abstractNumId w:val="1"/>
  </w:num>
  <w:num w:numId="3" w16cid:durableId="432675509">
    <w:abstractNumId w:val="3"/>
  </w:num>
  <w:num w:numId="4" w16cid:durableId="1991398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A0"/>
    <w:rsid w:val="0001570D"/>
    <w:rsid w:val="000A1126"/>
    <w:rsid w:val="000B4B01"/>
    <w:rsid w:val="000C01B4"/>
    <w:rsid w:val="001307CC"/>
    <w:rsid w:val="001C6518"/>
    <w:rsid w:val="001F1558"/>
    <w:rsid w:val="0021003B"/>
    <w:rsid w:val="0025238A"/>
    <w:rsid w:val="002E65C0"/>
    <w:rsid w:val="00311685"/>
    <w:rsid w:val="003547D8"/>
    <w:rsid w:val="003B31D9"/>
    <w:rsid w:val="003D1BB2"/>
    <w:rsid w:val="003D1D46"/>
    <w:rsid w:val="003E039E"/>
    <w:rsid w:val="00443F01"/>
    <w:rsid w:val="00513F3C"/>
    <w:rsid w:val="005271C3"/>
    <w:rsid w:val="00540121"/>
    <w:rsid w:val="00541B10"/>
    <w:rsid w:val="00550309"/>
    <w:rsid w:val="00555569"/>
    <w:rsid w:val="005A6F7A"/>
    <w:rsid w:val="00667FF6"/>
    <w:rsid w:val="006707A9"/>
    <w:rsid w:val="00682694"/>
    <w:rsid w:val="00761D38"/>
    <w:rsid w:val="00785C9D"/>
    <w:rsid w:val="0079388F"/>
    <w:rsid w:val="007E2C37"/>
    <w:rsid w:val="00816394"/>
    <w:rsid w:val="0082526B"/>
    <w:rsid w:val="00845CC8"/>
    <w:rsid w:val="008B6B0E"/>
    <w:rsid w:val="009831C2"/>
    <w:rsid w:val="009B3A86"/>
    <w:rsid w:val="009D5815"/>
    <w:rsid w:val="009E1DDC"/>
    <w:rsid w:val="009E506A"/>
    <w:rsid w:val="00A02698"/>
    <w:rsid w:val="00AB5AA0"/>
    <w:rsid w:val="00AC44C8"/>
    <w:rsid w:val="00B01598"/>
    <w:rsid w:val="00B861B6"/>
    <w:rsid w:val="00BB0178"/>
    <w:rsid w:val="00C00FE2"/>
    <w:rsid w:val="00C34D91"/>
    <w:rsid w:val="00C56E58"/>
    <w:rsid w:val="00C9534F"/>
    <w:rsid w:val="00CB7118"/>
    <w:rsid w:val="00D203E4"/>
    <w:rsid w:val="00DA25F8"/>
    <w:rsid w:val="00DE6402"/>
    <w:rsid w:val="00E02F60"/>
    <w:rsid w:val="00E95482"/>
    <w:rsid w:val="00EF10D5"/>
    <w:rsid w:val="00F24605"/>
    <w:rsid w:val="00F46D15"/>
    <w:rsid w:val="00FB19DE"/>
    <w:rsid w:val="00FB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05CAE"/>
  <w15:chartTrackingRefBased/>
  <w15:docId w15:val="{6B57EAFD-CDE0-42AA-AD48-90F87799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A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52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54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1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DDC"/>
  </w:style>
  <w:style w:type="paragraph" w:styleId="Footer">
    <w:name w:val="footer"/>
    <w:basedOn w:val="Normal"/>
    <w:link w:val="FooterChar"/>
    <w:uiPriority w:val="99"/>
    <w:unhideWhenUsed/>
    <w:rsid w:val="009E1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DDC"/>
  </w:style>
  <w:style w:type="paragraph" w:styleId="TOCHeading">
    <w:name w:val="TOC Heading"/>
    <w:basedOn w:val="Heading1"/>
    <w:next w:val="Normal"/>
    <w:uiPriority w:val="39"/>
    <w:unhideWhenUsed/>
    <w:qFormat/>
    <w:rsid w:val="00667FF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67FF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67FF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B6B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i="1"/>
              <a:t>Benchmarks of Success </a:t>
            </a:r>
            <a:r>
              <a:rPr lang="en-US" b="1"/>
              <a:t>Newsletter</a:t>
            </a:r>
          </a:p>
          <a:p>
            <a:pPr>
              <a:defRPr/>
            </a:pPr>
            <a:r>
              <a:rPr lang="en-US" b="1"/>
              <a:t>2022 UNIQUE OPEN RATE BY MONTH</a:t>
            </a:r>
          </a:p>
        </c:rich>
      </c:tx>
      <c:layout>
        <c:manualLayout>
          <c:xMode val="edge"/>
          <c:yMode val="edge"/>
          <c:x val="0.2755317778529217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'Unique Open Rate'!$J$46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0492340418232035E-2"/>
                  <c:y val="-0.3109449636552440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EB2-41E9-A4F6-80D76B621579}"/>
                </c:ext>
              </c:extLst>
            </c:dLbl>
            <c:dLbl>
              <c:idx val="1"/>
              <c:layout>
                <c:manualLayout>
                  <c:x val="7.3580018184001309E-3"/>
                  <c:y val="-0.1844935037325941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16470245140926E-2"/>
                      <c:h val="6.720599177439268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EB2-41E9-A4F6-80D76B621579}"/>
                </c:ext>
              </c:extLst>
            </c:dLbl>
            <c:dLbl>
              <c:idx val="2"/>
              <c:layout>
                <c:manualLayout>
                  <c:x val="1.0358533614670715E-2"/>
                  <c:y val="-0.3155895699953393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EB2-41E9-A4F6-80D76B621579}"/>
                </c:ext>
              </c:extLst>
            </c:dLbl>
            <c:dLbl>
              <c:idx val="3"/>
              <c:layout>
                <c:manualLayout>
                  <c:x val="6.135041943286461E-3"/>
                  <c:y val="-0.1699976288010727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EB2-41E9-A4F6-80D76B621579}"/>
                </c:ext>
              </c:extLst>
            </c:dLbl>
            <c:dLbl>
              <c:idx val="4"/>
              <c:layout>
                <c:manualLayout>
                  <c:x val="8.1798843771979483E-3"/>
                  <c:y val="-0.1865799952576022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EB2-41E9-A4F6-80D76B621579}"/>
                </c:ext>
              </c:extLst>
            </c:dLbl>
            <c:dLbl>
              <c:idx val="5"/>
              <c:layout>
                <c:manualLayout>
                  <c:x val="1.2269912339388869E-2"/>
                  <c:y val="-0.178272622464248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EB2-41E9-A4F6-80D76B621579}"/>
                </c:ext>
              </c:extLst>
            </c:dLbl>
            <c:dLbl>
              <c:idx val="6"/>
              <c:layout>
                <c:manualLayout>
                  <c:x val="8.1798843771978685E-3"/>
                  <c:y val="-0.1865606986042632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EB2-41E9-A4F6-80D76B621579}"/>
                </c:ext>
              </c:extLst>
            </c:dLbl>
            <c:dLbl>
              <c:idx val="7"/>
              <c:layout>
                <c:manualLayout>
                  <c:x val="1.0358533614670715E-2"/>
                  <c:y val="-0.294343300545375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EB2-41E9-A4F6-80D76B621579}"/>
                </c:ext>
              </c:extLst>
            </c:dLbl>
            <c:dLbl>
              <c:idx val="8"/>
              <c:layout>
                <c:manualLayout>
                  <c:x val="1.2403547595766055E-2"/>
                  <c:y val="-0.2943560559602946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EB2-41E9-A4F6-80D76B621579}"/>
                </c:ext>
              </c:extLst>
            </c:dLbl>
            <c:dLbl>
              <c:idx val="9"/>
              <c:layout>
                <c:manualLayout>
                  <c:x val="1.0224898358293448E-2"/>
                  <c:y val="-0.190682005870761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EB2-41E9-A4F6-80D76B62157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'Unique Open Rate'!$I$47:$I$56</c:f>
              <c:strCache>
                <c:ptCount val="10"/>
                <c:pt idx="0">
                  <c:v>Jan</c:v>
                </c:pt>
                <c:pt idx="1">
                  <c:v>Feb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June/July</c:v>
                </c:pt>
                <c:pt idx="6">
                  <c:v>Aug</c:v>
                </c:pt>
                <c:pt idx="7">
                  <c:v>Sept</c:v>
                </c:pt>
                <c:pt idx="8">
                  <c:v>Oct</c:v>
                </c:pt>
                <c:pt idx="9">
                  <c:v>Nov/Dec</c:v>
                </c:pt>
              </c:strCache>
            </c:strRef>
          </c:cat>
          <c:val>
            <c:numRef>
              <c:f>'Unique Open Rate'!$J$47:$J$56</c:f>
              <c:numCache>
                <c:formatCode>0%</c:formatCode>
                <c:ptCount val="10"/>
                <c:pt idx="0">
                  <c:v>0.33</c:v>
                </c:pt>
                <c:pt idx="1">
                  <c:v>0.17</c:v>
                </c:pt>
                <c:pt idx="2">
                  <c:v>0.34</c:v>
                </c:pt>
                <c:pt idx="3">
                  <c:v>0.15</c:v>
                </c:pt>
                <c:pt idx="4">
                  <c:v>0.17</c:v>
                </c:pt>
                <c:pt idx="5">
                  <c:v>0.17</c:v>
                </c:pt>
                <c:pt idx="6">
                  <c:v>0.18</c:v>
                </c:pt>
                <c:pt idx="7">
                  <c:v>0.32</c:v>
                </c:pt>
                <c:pt idx="8">
                  <c:v>0.31</c:v>
                </c:pt>
                <c:pt idx="9">
                  <c:v>0.19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EB2-41E9-A4F6-80D76B6215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8983504"/>
        <c:axId val="218985584"/>
        <c:axId val="0"/>
      </c:bar3DChart>
      <c:catAx>
        <c:axId val="218983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8985584"/>
        <c:crosses val="autoZero"/>
        <c:auto val="1"/>
        <c:lblAlgn val="ctr"/>
        <c:lblOffset val="100"/>
        <c:noMultiLvlLbl val="0"/>
      </c:catAx>
      <c:valAx>
        <c:axId val="21898558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218983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accent3">
            <a:lumMod val="5000"/>
            <a:lumOff val="95000"/>
          </a:schemeClr>
        </a:gs>
        <a:gs pos="74000">
          <a:schemeClr val="accent3">
            <a:lumMod val="45000"/>
            <a:lumOff val="55000"/>
          </a:schemeClr>
        </a:gs>
        <a:gs pos="83000">
          <a:schemeClr val="accent3">
            <a:lumMod val="45000"/>
            <a:lumOff val="55000"/>
          </a:schemeClr>
        </a:gs>
        <a:gs pos="100000">
          <a:schemeClr val="accent3">
            <a:lumMod val="30000"/>
            <a:lumOff val="70000"/>
          </a:schemeClr>
        </a:gs>
      </a:gsLst>
      <a:lin ang="5400000" scaled="1"/>
      <a:tileRect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i="1"/>
              <a:t>Benchmarks of Success </a:t>
            </a:r>
            <a:r>
              <a:rPr lang="en-US" sz="1400"/>
              <a:t>Newsletter</a:t>
            </a:r>
          </a:p>
          <a:p>
            <a:pPr>
              <a:defRPr/>
            </a:pPr>
            <a:r>
              <a:rPr lang="en-US" sz="1400"/>
              <a:t>TOTAL RECIPIENTS by MONTH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'Total Recipients'!$C$35:$L$35</c:f>
              <c:strCache>
                <c:ptCount val="10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 </c:v>
                </c:pt>
                <c:pt idx="5">
                  <c:v>June/July</c:v>
                </c:pt>
                <c:pt idx="6">
                  <c:v>August</c:v>
                </c:pt>
                <c:pt idx="7">
                  <c:v>September</c:v>
                </c:pt>
                <c:pt idx="8">
                  <c:v>October </c:v>
                </c:pt>
                <c:pt idx="9">
                  <c:v>November/December</c:v>
                </c:pt>
              </c:strCache>
            </c:strRef>
          </c:cat>
          <c:val>
            <c:numRef>
              <c:f>'Total Recipients'!$C$36:$L$36</c:f>
              <c:numCache>
                <c:formatCode>General</c:formatCode>
                <c:ptCount val="10"/>
                <c:pt idx="0">
                  <c:v>5479</c:v>
                </c:pt>
                <c:pt idx="1">
                  <c:v>5471</c:v>
                </c:pt>
                <c:pt idx="2">
                  <c:v>6502</c:v>
                </c:pt>
                <c:pt idx="3">
                  <c:v>6462</c:v>
                </c:pt>
                <c:pt idx="4">
                  <c:v>6439</c:v>
                </c:pt>
                <c:pt idx="5">
                  <c:v>6428</c:v>
                </c:pt>
                <c:pt idx="6">
                  <c:v>6416</c:v>
                </c:pt>
                <c:pt idx="7">
                  <c:v>6451</c:v>
                </c:pt>
                <c:pt idx="8">
                  <c:v>6451</c:v>
                </c:pt>
                <c:pt idx="9">
                  <c:v>6545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58-4449-B165-42567889C29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905768256"/>
        <c:axId val="905765760"/>
      </c:barChart>
      <c:catAx>
        <c:axId val="905768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5765760"/>
        <c:crosses val="autoZero"/>
        <c:auto val="1"/>
        <c:lblAlgn val="ctr"/>
        <c:lblOffset val="100"/>
        <c:noMultiLvlLbl val="0"/>
      </c:catAx>
      <c:valAx>
        <c:axId val="90576576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905768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 sz="1400" i="1"/>
              <a:t>Benchmarks of Success </a:t>
            </a:r>
            <a:r>
              <a:rPr lang="en-US" sz="1400"/>
              <a:t>Newsletter</a:t>
            </a:r>
          </a:p>
          <a:p>
            <a:pPr>
              <a:defRPr/>
            </a:pPr>
            <a:r>
              <a:rPr lang="en-US" sz="1400"/>
              <a:t>Yearly Average Recipients </a:t>
            </a:r>
          </a:p>
          <a:p>
            <a:pPr>
              <a:defRPr/>
            </a:pPr>
            <a:r>
              <a:rPr lang="en-US" sz="1400"/>
              <a:t>2018 through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1.6666666666666666E-2"/>
          <c:y val="0.2350162203965209"/>
          <c:w val="0.93888888888888888"/>
          <c:h val="0.64727848841841995"/>
        </c:manualLayout>
      </c:layout>
      <c:lineChart>
        <c:grouping val="standard"/>
        <c:varyColors val="0"/>
        <c:ser>
          <c:idx val="0"/>
          <c:order val="0"/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'Total Recipients'!$D$21:$H$21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'Total Recipients'!$D$22:$H$22</c:f>
              <c:numCache>
                <c:formatCode>General</c:formatCode>
                <c:ptCount val="5"/>
                <c:pt idx="0" formatCode="0">
                  <c:v>1312</c:v>
                </c:pt>
                <c:pt idx="1">
                  <c:v>1769</c:v>
                </c:pt>
                <c:pt idx="2">
                  <c:v>4206</c:v>
                </c:pt>
                <c:pt idx="3">
                  <c:v>5437</c:v>
                </c:pt>
                <c:pt idx="4" formatCode="#,##0">
                  <c:v>5817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0C6-43C5-9262-D05215F0064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871340864"/>
        <c:axId val="871344192"/>
      </c:lineChart>
      <c:catAx>
        <c:axId val="8713408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lt1">
                <a:lumMod val="95000"/>
                <a:alpha val="1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71344192"/>
        <c:crosses val="autoZero"/>
        <c:auto val="1"/>
        <c:lblAlgn val="ctr"/>
        <c:lblOffset val="100"/>
        <c:noMultiLvlLbl val="0"/>
      </c:catAx>
      <c:valAx>
        <c:axId val="87134419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0" sourceLinked="1"/>
        <c:majorTickMark val="out"/>
        <c:minorTickMark val="none"/>
        <c:tickLblPos val="nextTo"/>
        <c:crossAx val="871340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33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D413F-CB52-456D-AE1F-65B971C32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 K. Taylor</dc:creator>
  <cp:keywords/>
  <dc:description/>
  <cp:lastModifiedBy>Lili K. Taylor</cp:lastModifiedBy>
  <cp:revision>2</cp:revision>
  <dcterms:created xsi:type="dcterms:W3CDTF">2023-01-30T15:41:00Z</dcterms:created>
  <dcterms:modified xsi:type="dcterms:W3CDTF">2023-01-30T15:41:00Z</dcterms:modified>
</cp:coreProperties>
</file>